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hAnsi="Times New Roman" w:eastAsia="黑体"/>
          <w:sz w:val="32"/>
          <w:szCs w:val="32"/>
        </w:rPr>
      </w:pPr>
      <w:r>
        <w:rPr>
          <w:rFonts w:ascii="黑体" w:hAnsi="黑体" w:eastAsia="黑体"/>
          <w:sz w:val="32"/>
          <w:szCs w:val="32"/>
        </w:rPr>
        <w:t>附件</w:t>
      </w:r>
      <w:r>
        <w:rPr>
          <w:rFonts w:hint="eastAsia" w:ascii="黑体" w:hAnsi="黑体" w:eastAsia="黑体"/>
          <w:sz w:val="32"/>
          <w:szCs w:val="32"/>
        </w:rPr>
        <w:t>1</w:t>
      </w:r>
    </w:p>
    <w:p>
      <w:pPr>
        <w:spacing w:line="580" w:lineRule="exact"/>
        <w:jc w:val="center"/>
        <w:rPr>
          <w:rFonts w:hint="eastAsia" w:ascii="Times New Roman" w:hAnsi="Times New Roman" w:eastAsia="方正小标宋简体"/>
          <w:color w:val="000000"/>
          <w:sz w:val="44"/>
          <w:szCs w:val="44"/>
        </w:rPr>
      </w:pPr>
      <w:bookmarkStart w:id="0" w:name="_GoBack"/>
      <w:r>
        <w:rPr>
          <w:rFonts w:ascii="Times New Roman" w:hAnsi="Times New Roman" w:eastAsia="方正小标宋简体"/>
          <w:sz w:val="44"/>
          <w:szCs w:val="44"/>
        </w:rPr>
        <w:t>高等教育自学</w:t>
      </w:r>
      <w:r>
        <w:rPr>
          <w:rFonts w:ascii="Times New Roman" w:hAnsi="Times New Roman" w:eastAsia="方正小标宋简体"/>
          <w:color w:val="000000"/>
          <w:sz w:val="44"/>
          <w:szCs w:val="44"/>
        </w:rPr>
        <w:t>考试</w:t>
      </w:r>
      <w:r>
        <w:rPr>
          <w:rFonts w:hint="eastAsia" w:ascii="Times New Roman" w:hAnsi="Times New Roman" w:eastAsia="方正小标宋简体"/>
          <w:color w:val="000000"/>
          <w:sz w:val="44"/>
          <w:szCs w:val="44"/>
        </w:rPr>
        <w:t>质量管理工程</w:t>
      </w:r>
      <w:r>
        <w:rPr>
          <w:rFonts w:ascii="Times New Roman" w:hAnsi="Times New Roman" w:eastAsia="方正小标宋简体"/>
          <w:color w:val="000000"/>
          <w:sz w:val="44"/>
          <w:szCs w:val="44"/>
        </w:rPr>
        <w:t>（</w:t>
      </w:r>
      <w:r>
        <w:rPr>
          <w:rFonts w:hint="eastAsia" w:ascii="Times New Roman" w:hAnsi="Times New Roman" w:eastAsia="方正小标宋简体"/>
          <w:color w:val="000000"/>
          <w:sz w:val="44"/>
          <w:szCs w:val="44"/>
        </w:rPr>
        <w:t>专升</w:t>
      </w:r>
      <w:r>
        <w:rPr>
          <w:rFonts w:ascii="Times New Roman" w:hAnsi="Times New Roman" w:eastAsia="方正小标宋简体"/>
          <w:color w:val="000000"/>
          <w:sz w:val="44"/>
          <w:szCs w:val="44"/>
        </w:rPr>
        <w:t>本）</w:t>
      </w:r>
    </w:p>
    <w:p>
      <w:pPr>
        <w:spacing w:line="58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专业</w:t>
      </w:r>
      <w:r>
        <w:rPr>
          <w:rFonts w:hint="eastAsia" w:ascii="Times New Roman" w:hAnsi="Times New Roman" w:eastAsia="方正小标宋简体"/>
          <w:color w:val="000000"/>
          <w:sz w:val="44"/>
          <w:szCs w:val="44"/>
        </w:rPr>
        <w:t>考试</w:t>
      </w:r>
      <w:r>
        <w:rPr>
          <w:rFonts w:ascii="Times New Roman" w:hAnsi="Times New Roman" w:eastAsia="方正小标宋简体"/>
          <w:color w:val="000000"/>
          <w:sz w:val="44"/>
          <w:szCs w:val="44"/>
        </w:rPr>
        <w:t>计划</w:t>
      </w:r>
    </w:p>
    <w:bookmarkEnd w:id="0"/>
    <w:p>
      <w:pPr>
        <w:spacing w:line="580" w:lineRule="exact"/>
        <w:ind w:firstLine="640" w:firstLineChars="200"/>
        <w:rPr>
          <w:rFonts w:ascii="Times New Roman" w:hAnsi="Times New Roman" w:eastAsia="黑体"/>
          <w:sz w:val="32"/>
          <w:szCs w:val="32"/>
        </w:rPr>
      </w:pPr>
    </w:p>
    <w:p>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黑体" w:cs="Times New Roman"/>
          <w:sz w:val="32"/>
          <w:szCs w:val="32"/>
        </w:rPr>
        <w:t>一、指导思想</w:t>
      </w:r>
    </w:p>
    <w:p>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高等教育自学考试是我国高等教育基本制度，是对自学者进行以学历考试为主的国家考试，是个人自学、社会助学、国家考试相结合的高等教育形式，也是我国终身教育体系的重要组成部分。</w:t>
      </w:r>
    </w:p>
    <w:p>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高等教育自学考</w:t>
      </w:r>
      <w:r>
        <w:rPr>
          <w:rFonts w:hint="default" w:ascii="Times New Roman" w:hAnsi="Times New Roman" w:eastAsia="仿宋_GB2312" w:cs="Times New Roman"/>
          <w:color w:val="000000"/>
          <w:sz w:val="32"/>
          <w:szCs w:val="32"/>
        </w:rPr>
        <w:t>试质量管理工程（专升本）专业课程</w:t>
      </w:r>
      <w:r>
        <w:rPr>
          <w:rFonts w:hint="default" w:ascii="Times New Roman" w:hAnsi="Times New Roman" w:eastAsia="仿宋_GB2312" w:cs="Times New Roman"/>
          <w:sz w:val="32"/>
          <w:szCs w:val="32"/>
        </w:rPr>
        <w:t>设置在总体上与全日制普通高等院校相同层次专业要求相一致，同时结合高等教育自学考试的特点，更加注重培养考生运用所学知识解决和处理实际问题的能力。</w:t>
      </w:r>
    </w:p>
    <w:p>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黑体" w:cs="Times New Roman"/>
          <w:sz w:val="32"/>
          <w:szCs w:val="32"/>
        </w:rPr>
        <w:t>二、专业培养目标与基本要求</w:t>
      </w:r>
    </w:p>
    <w:p>
      <w:pPr>
        <w:spacing w:line="580" w:lineRule="exact"/>
        <w:ind w:firstLine="643" w:firstLineChars="200"/>
        <w:rPr>
          <w:rFonts w:ascii="Times New Roman" w:hAnsi="Times New Roman" w:eastAsia="仿宋_GB2312" w:cs="Times New Roman"/>
          <w:sz w:val="32"/>
          <w:szCs w:val="32"/>
        </w:rPr>
      </w:pPr>
      <w:r>
        <w:rPr>
          <w:rFonts w:hint="default" w:ascii="Times New Roman" w:hAnsi="Times New Roman" w:eastAsia="仿宋_GB2312" w:cs="Times New Roman"/>
          <w:b/>
          <w:sz w:val="32"/>
          <w:szCs w:val="32"/>
        </w:rPr>
        <w:t>培养目标：</w:t>
      </w:r>
      <w:r>
        <w:rPr>
          <w:rFonts w:hint="default" w:ascii="Times New Roman" w:hAnsi="Times New Roman" w:eastAsia="仿宋_GB2312" w:cs="Times New Roman"/>
          <w:sz w:val="32"/>
          <w:szCs w:val="32"/>
        </w:rPr>
        <w:t>本专业培养具备较高的人文精神和科学素养、良好的职业道德和社会责任感，适应当今社会和经济发展需要，系统掌握质量管理工程领域的相关理论、方法和工具，具备通过语言和文字进行广泛沟通及解决质量管理工程领域相关问题的基本知识和能力，能在工业和服务业组织、标准化计量检测认证等质量基础设施相关机构、政府质量职能部门等单位，从事质量管理、质量技术、质量咨询和质量监管等工作的应用型人才。</w:t>
      </w:r>
    </w:p>
    <w:p>
      <w:pPr>
        <w:tabs>
          <w:tab w:val="left" w:pos="495"/>
        </w:tabs>
        <w:snapToGrid w:val="0"/>
        <w:spacing w:line="580" w:lineRule="exact"/>
        <w:ind w:firstLine="643" w:firstLineChars="200"/>
        <w:rPr>
          <w:rFonts w:ascii="Times New Roman" w:hAnsi="Times New Roman" w:eastAsia="仿宋_GB2312" w:cs="Times New Roman"/>
          <w:b/>
          <w:sz w:val="32"/>
          <w:szCs w:val="32"/>
        </w:rPr>
      </w:pPr>
      <w:r>
        <w:rPr>
          <w:rFonts w:hint="default" w:ascii="Times New Roman" w:hAnsi="Times New Roman" w:eastAsia="仿宋_GB2312" w:cs="Times New Roman"/>
          <w:b/>
          <w:sz w:val="32"/>
          <w:szCs w:val="32"/>
        </w:rPr>
        <w:t>基本要求：</w:t>
      </w:r>
      <w:r>
        <w:rPr>
          <w:rFonts w:hint="default" w:ascii="Times New Roman" w:hAnsi="Times New Roman" w:eastAsia="仿宋_GB2312" w:cs="Times New Roman"/>
          <w:sz w:val="32"/>
          <w:szCs w:val="32"/>
        </w:rPr>
        <w:t>本专业要求掌握质量管理学、质量政策与法律法规、计量管理、运筹学与系统分析、综合质量管理体系、质量统计技术、标准化工程、服务质量管理、供应商质量管理、数字化质量管理等方面的基本理论和基本知识，具备进行质量策划、质量控制、质量改进和质量保证的基本能力。主要包括：</w:t>
      </w:r>
    </w:p>
    <w:p>
      <w:pPr>
        <w:tabs>
          <w:tab w:val="left" w:pos="495"/>
        </w:tabs>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default" w:ascii="Times New Roman" w:hAnsi="Times New Roman" w:eastAsia="仿宋_GB2312" w:cs="Times New Roman"/>
          <w:sz w:val="32"/>
          <w:szCs w:val="32"/>
        </w:rPr>
        <w:t>具备良好的思想品德和人文素养、较强的质量意识和社会责任感；</w:t>
      </w:r>
    </w:p>
    <w:p>
      <w:pPr>
        <w:tabs>
          <w:tab w:val="left" w:pos="640"/>
        </w:tabs>
        <w:snapToGrid w:val="0"/>
        <w:spacing w:line="580" w:lineRule="exact"/>
        <w:ind w:left="64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default" w:ascii="Times New Roman" w:hAnsi="Times New Roman" w:eastAsia="仿宋_GB2312" w:cs="Times New Roman"/>
          <w:sz w:val="32"/>
          <w:szCs w:val="32"/>
        </w:rPr>
        <w:t>熟悉质量相关法律法规和国家质量相关政策；</w:t>
      </w:r>
    </w:p>
    <w:p>
      <w:pPr>
        <w:tabs>
          <w:tab w:val="left" w:pos="495"/>
        </w:tabs>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w:t>
      </w:r>
      <w:r>
        <w:rPr>
          <w:rFonts w:hint="default" w:ascii="Times New Roman" w:hAnsi="Times New Roman" w:eastAsia="仿宋_GB2312" w:cs="Times New Roman"/>
          <w:sz w:val="32"/>
          <w:szCs w:val="32"/>
        </w:rPr>
        <w:t>具有充分的自我表达能力，良好的沟通、组织和协调能力；</w:t>
      </w:r>
    </w:p>
    <w:p>
      <w:pPr>
        <w:tabs>
          <w:tab w:val="left" w:pos="640"/>
        </w:tabs>
        <w:snapToGrid w:val="0"/>
        <w:spacing w:line="58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hint="default" w:ascii="Times New Roman" w:hAnsi="Times New Roman" w:eastAsia="仿宋_GB2312" w:cs="Times New Roman"/>
          <w:sz w:val="32"/>
          <w:szCs w:val="32"/>
        </w:rPr>
        <w:t>熟悉和掌握工程和管理学科基础知识及质量管理的基本理论、知识、工具和方法，并能将其应用于解决质量管理工程实践问题。</w:t>
      </w:r>
    </w:p>
    <w:p>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黑体" w:cs="Times New Roman"/>
          <w:sz w:val="32"/>
          <w:szCs w:val="32"/>
        </w:rPr>
        <w:t>三、学历层次和规格</w:t>
      </w:r>
    </w:p>
    <w:p>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本专业为专科起点本科层次，申请毕业前必须国家承认学历的国民教育系列专科及以上毕业。课程实行学分制，每门课程考试合格即获得规定的相应学分。</w:t>
      </w:r>
    </w:p>
    <w:p>
      <w:pPr>
        <w:snapToGrid w:val="0"/>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凡取得本专业计划规定的15门及以上课程合格成绩，累计不少于70学分（其中必</w:t>
      </w:r>
      <w:r>
        <w:rPr>
          <w:rFonts w:ascii="Times New Roman" w:hAnsi="Times New Roman" w:eastAsia="仿宋_GB2312" w:cs="Times New Roman"/>
          <w:sz w:val="32"/>
          <w:szCs w:val="32"/>
        </w:rPr>
        <w:t>考</w:t>
      </w:r>
      <w:r>
        <w:rPr>
          <w:rFonts w:hint="default" w:ascii="Times New Roman" w:hAnsi="Times New Roman" w:eastAsia="仿宋_GB2312" w:cs="Times New Roman"/>
          <w:sz w:val="32"/>
          <w:szCs w:val="32"/>
        </w:rPr>
        <w:t>课程9门，共计42学分；选</w:t>
      </w:r>
      <w:r>
        <w:rPr>
          <w:rFonts w:ascii="Times New Roman" w:hAnsi="Times New Roman" w:eastAsia="仿宋_GB2312" w:cs="Times New Roman"/>
          <w:sz w:val="32"/>
          <w:szCs w:val="32"/>
        </w:rPr>
        <w:t>考</w:t>
      </w:r>
      <w:r>
        <w:rPr>
          <w:rFonts w:hint="default" w:ascii="Times New Roman" w:hAnsi="Times New Roman" w:eastAsia="仿宋_GB2312" w:cs="Times New Roman"/>
          <w:sz w:val="32"/>
          <w:szCs w:val="32"/>
        </w:rPr>
        <w:t>课程不得少于6门，不得少于28学分），完成相应课程实践性环节考核，发本科毕业证书，国家承认学历；符合浙江省自学考试学位授予条件者按规定由主考学校授予学士学位。</w:t>
      </w:r>
    </w:p>
    <w:p>
      <w:pPr>
        <w:spacing w:line="580" w:lineRule="exact"/>
        <w:ind w:firstLine="640" w:firstLineChars="200"/>
        <w:rPr>
          <w:rFonts w:ascii="Times New Roman" w:hAnsi="Times New Roman" w:eastAsia="黑体"/>
          <w:sz w:val="32"/>
          <w:szCs w:val="32"/>
        </w:rPr>
      </w:pPr>
      <w:r>
        <w:rPr>
          <w:rFonts w:hint="default" w:ascii="Times New Roman" w:hAnsi="Times New Roman" w:eastAsia="黑体"/>
          <w:sz w:val="32"/>
          <w:szCs w:val="32"/>
        </w:rPr>
        <w:t>四、专业</w:t>
      </w:r>
      <w:r>
        <w:rPr>
          <w:rFonts w:ascii="Times New Roman" w:hAnsi="Times New Roman" w:eastAsia="黑体"/>
          <w:sz w:val="32"/>
          <w:szCs w:val="32"/>
        </w:rPr>
        <w:t>课程及学分</w:t>
      </w:r>
    </w:p>
    <w:p>
      <w:pPr>
        <w:pStyle w:val="2"/>
        <w:spacing w:line="580" w:lineRule="exact"/>
        <w:jc w:val="center"/>
        <w:rPr>
          <w:rFonts w:hint="eastAsia" w:ascii="Times New Roman" w:hAnsi="Times New Roman" w:eastAsia="仿宋"/>
          <w:color w:val="000000"/>
          <w:sz w:val="32"/>
          <w:szCs w:val="32"/>
        </w:rPr>
      </w:pPr>
    </w:p>
    <w:p>
      <w:pPr>
        <w:pStyle w:val="2"/>
        <w:spacing w:line="580" w:lineRule="exact"/>
        <w:jc w:val="center"/>
        <w:rPr>
          <w:rFonts w:ascii="Times New Roman" w:hAnsi="Times New Roman" w:eastAsia="仿宋"/>
        </w:rPr>
      </w:pPr>
      <w:r>
        <w:rPr>
          <w:rFonts w:ascii="Times New Roman" w:hAnsi="Times New Roman" w:eastAsia="仿宋"/>
          <w:color w:val="000000"/>
          <w:sz w:val="32"/>
          <w:szCs w:val="32"/>
        </w:rPr>
        <w:t>专业代码：120703           主考学校：中国计量大学</w:t>
      </w:r>
    </w:p>
    <w:tbl>
      <w:tblPr>
        <w:tblStyle w:val="3"/>
        <w:tblW w:w="863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22"/>
        <w:gridCol w:w="926"/>
        <w:gridCol w:w="1047"/>
        <w:gridCol w:w="4141"/>
        <w:gridCol w:w="851"/>
        <w:gridCol w:w="8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22" w:type="dxa"/>
            <w:noWrap w:val="0"/>
            <w:vAlign w:val="center"/>
          </w:tcPr>
          <w:p>
            <w:pPr>
              <w:spacing w:line="580" w:lineRule="exact"/>
              <w:jc w:val="center"/>
              <w:rPr>
                <w:rFonts w:ascii="Times New Roman" w:hAnsi="Times New Roman" w:eastAsia="仿宋"/>
                <w:b/>
                <w:sz w:val="28"/>
                <w:szCs w:val="28"/>
              </w:rPr>
            </w:pPr>
            <w:r>
              <w:rPr>
                <w:rFonts w:ascii="Times New Roman" w:hAnsi="Times New Roman" w:eastAsia="仿宋"/>
                <w:b/>
                <w:sz w:val="28"/>
                <w:szCs w:val="28"/>
              </w:rPr>
              <w:t>课程类别</w:t>
            </w:r>
          </w:p>
        </w:tc>
        <w:tc>
          <w:tcPr>
            <w:tcW w:w="926" w:type="dxa"/>
            <w:noWrap w:val="0"/>
            <w:vAlign w:val="center"/>
          </w:tcPr>
          <w:p>
            <w:pPr>
              <w:spacing w:line="580" w:lineRule="exact"/>
              <w:jc w:val="center"/>
              <w:rPr>
                <w:rFonts w:ascii="Times New Roman" w:hAnsi="Times New Roman" w:eastAsia="仿宋"/>
                <w:b/>
                <w:sz w:val="28"/>
                <w:szCs w:val="28"/>
              </w:rPr>
            </w:pPr>
            <w:r>
              <w:rPr>
                <w:rFonts w:ascii="Times New Roman" w:hAnsi="Times New Roman" w:eastAsia="仿宋"/>
                <w:b/>
                <w:sz w:val="28"/>
                <w:szCs w:val="28"/>
              </w:rPr>
              <w:t>序号</w:t>
            </w:r>
          </w:p>
        </w:tc>
        <w:tc>
          <w:tcPr>
            <w:tcW w:w="1047" w:type="dxa"/>
            <w:noWrap w:val="0"/>
            <w:vAlign w:val="center"/>
          </w:tcPr>
          <w:p>
            <w:pPr>
              <w:spacing w:line="580" w:lineRule="exact"/>
              <w:jc w:val="center"/>
              <w:rPr>
                <w:rFonts w:ascii="Times New Roman" w:hAnsi="Times New Roman" w:eastAsia="仿宋"/>
                <w:b/>
                <w:sz w:val="28"/>
                <w:szCs w:val="28"/>
              </w:rPr>
            </w:pPr>
            <w:r>
              <w:rPr>
                <w:rFonts w:ascii="Times New Roman" w:hAnsi="Times New Roman" w:eastAsia="仿宋"/>
                <w:b/>
                <w:sz w:val="28"/>
                <w:szCs w:val="28"/>
              </w:rPr>
              <w:t>课程</w:t>
            </w:r>
          </w:p>
        </w:tc>
        <w:tc>
          <w:tcPr>
            <w:tcW w:w="4141" w:type="dxa"/>
            <w:noWrap w:val="0"/>
            <w:vAlign w:val="center"/>
          </w:tcPr>
          <w:p>
            <w:pPr>
              <w:spacing w:line="580" w:lineRule="exact"/>
              <w:jc w:val="center"/>
              <w:rPr>
                <w:rFonts w:ascii="Times New Roman" w:hAnsi="Times New Roman" w:eastAsia="仿宋"/>
                <w:b/>
                <w:sz w:val="28"/>
                <w:szCs w:val="28"/>
              </w:rPr>
            </w:pPr>
            <w:r>
              <w:rPr>
                <w:rFonts w:ascii="Times New Roman" w:hAnsi="Times New Roman" w:eastAsia="仿宋"/>
                <w:b/>
                <w:sz w:val="28"/>
                <w:szCs w:val="28"/>
              </w:rPr>
              <w:t>课程名称</w:t>
            </w:r>
          </w:p>
        </w:tc>
        <w:tc>
          <w:tcPr>
            <w:tcW w:w="851" w:type="dxa"/>
            <w:noWrap w:val="0"/>
            <w:vAlign w:val="center"/>
          </w:tcPr>
          <w:p>
            <w:pPr>
              <w:spacing w:line="580" w:lineRule="exact"/>
              <w:jc w:val="center"/>
              <w:rPr>
                <w:rFonts w:ascii="Times New Roman" w:hAnsi="Times New Roman" w:eastAsia="仿宋"/>
                <w:b/>
                <w:sz w:val="28"/>
                <w:szCs w:val="28"/>
              </w:rPr>
            </w:pPr>
            <w:r>
              <w:rPr>
                <w:rFonts w:ascii="Times New Roman" w:hAnsi="Times New Roman" w:eastAsia="仿宋"/>
                <w:b/>
                <w:sz w:val="28"/>
                <w:szCs w:val="28"/>
              </w:rPr>
              <w:t>学分</w:t>
            </w:r>
          </w:p>
        </w:tc>
        <w:tc>
          <w:tcPr>
            <w:tcW w:w="850" w:type="dxa"/>
            <w:noWrap w:val="0"/>
            <w:vAlign w:val="center"/>
          </w:tcPr>
          <w:p>
            <w:pPr>
              <w:spacing w:line="580" w:lineRule="exact"/>
              <w:jc w:val="center"/>
              <w:rPr>
                <w:rFonts w:ascii="Times New Roman" w:hAnsi="Times New Roman" w:eastAsia="仿宋"/>
                <w:b/>
                <w:sz w:val="28"/>
                <w:szCs w:val="28"/>
              </w:rPr>
            </w:pPr>
            <w:r>
              <w:rPr>
                <w:rFonts w:ascii="Times New Roman" w:hAnsi="Times New Roman" w:eastAsia="仿宋"/>
                <w:b/>
                <w:sz w:val="28"/>
                <w:szCs w:val="28"/>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2" w:hRule="atLeast"/>
          <w:jc w:val="center"/>
        </w:trPr>
        <w:tc>
          <w:tcPr>
            <w:tcW w:w="822" w:type="dxa"/>
            <w:vMerge w:val="restart"/>
            <w:noWrap w:val="0"/>
            <w:vAlign w:val="center"/>
          </w:tcPr>
          <w:p>
            <w:pPr>
              <w:spacing w:line="580" w:lineRule="exact"/>
              <w:jc w:val="center"/>
              <w:rPr>
                <w:rFonts w:ascii="Times New Roman" w:hAnsi="Times New Roman" w:eastAsia="仿宋"/>
                <w:b/>
                <w:bCs/>
                <w:sz w:val="28"/>
                <w:szCs w:val="28"/>
              </w:rPr>
            </w:pPr>
            <w:r>
              <w:rPr>
                <w:rFonts w:ascii="Times New Roman" w:hAnsi="Times New Roman" w:eastAsia="仿宋"/>
                <w:b/>
                <w:bCs/>
                <w:sz w:val="28"/>
                <w:szCs w:val="28"/>
              </w:rPr>
              <w:t>公共基础课</w:t>
            </w:r>
          </w:p>
        </w:tc>
        <w:tc>
          <w:tcPr>
            <w:tcW w:w="926" w:type="dxa"/>
            <w:noWrap w:val="0"/>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1</w:t>
            </w:r>
          </w:p>
        </w:tc>
        <w:tc>
          <w:tcPr>
            <w:tcW w:w="1047" w:type="dxa"/>
            <w:noWrap w:val="0"/>
            <w:vAlign w:val="center"/>
          </w:tcPr>
          <w:p>
            <w:pPr>
              <w:snapToGrid w:val="0"/>
              <w:spacing w:line="580" w:lineRule="exact"/>
              <w:jc w:val="center"/>
              <w:rPr>
                <w:rFonts w:ascii="Times New Roman" w:hAnsi="Times New Roman" w:eastAsia="仿宋"/>
                <w:sz w:val="28"/>
                <w:szCs w:val="28"/>
              </w:rPr>
            </w:pPr>
            <w:r>
              <w:rPr>
                <w:rFonts w:ascii="Times New Roman" w:hAnsi="Times New Roman" w:eastAsia="仿宋"/>
                <w:sz w:val="28"/>
                <w:szCs w:val="28"/>
              </w:rPr>
              <w:t>03708</w:t>
            </w:r>
          </w:p>
        </w:tc>
        <w:tc>
          <w:tcPr>
            <w:tcW w:w="4141" w:type="dxa"/>
            <w:noWrap w:val="0"/>
            <w:vAlign w:val="center"/>
          </w:tcPr>
          <w:p>
            <w:pPr>
              <w:snapToGrid w:val="0"/>
              <w:spacing w:line="580" w:lineRule="exact"/>
              <w:jc w:val="center"/>
              <w:rPr>
                <w:rFonts w:ascii="Times New Roman" w:hAnsi="Times New Roman" w:eastAsia="仿宋"/>
                <w:sz w:val="28"/>
                <w:szCs w:val="28"/>
              </w:rPr>
            </w:pPr>
            <w:r>
              <w:rPr>
                <w:rFonts w:ascii="Times New Roman" w:hAnsi="Times New Roman" w:eastAsia="仿宋"/>
                <w:sz w:val="28"/>
                <w:szCs w:val="28"/>
              </w:rPr>
              <w:t>中国近现代史纲要</w:t>
            </w:r>
          </w:p>
        </w:tc>
        <w:tc>
          <w:tcPr>
            <w:tcW w:w="851" w:type="dxa"/>
            <w:noWrap w:val="0"/>
            <w:vAlign w:val="center"/>
          </w:tcPr>
          <w:p>
            <w:pPr>
              <w:snapToGrid w:val="0"/>
              <w:spacing w:line="580" w:lineRule="exact"/>
              <w:jc w:val="center"/>
              <w:rPr>
                <w:rFonts w:ascii="Times New Roman" w:hAnsi="Times New Roman" w:eastAsia="仿宋"/>
                <w:sz w:val="28"/>
                <w:szCs w:val="28"/>
              </w:rPr>
            </w:pPr>
            <w:r>
              <w:rPr>
                <w:rFonts w:ascii="Times New Roman" w:hAnsi="Times New Roman" w:eastAsia="仿宋"/>
                <w:sz w:val="28"/>
                <w:szCs w:val="28"/>
              </w:rPr>
              <w:t>2</w:t>
            </w:r>
          </w:p>
        </w:tc>
        <w:tc>
          <w:tcPr>
            <w:tcW w:w="850" w:type="dxa"/>
            <w:vMerge w:val="restart"/>
            <w:noWrap w:val="0"/>
            <w:vAlign w:val="center"/>
          </w:tcPr>
          <w:p>
            <w:pPr>
              <w:snapToGrid w:val="0"/>
              <w:spacing w:line="580" w:lineRule="exact"/>
              <w:jc w:val="center"/>
              <w:rPr>
                <w:rFonts w:ascii="Times New Roman" w:hAnsi="Times New Roman" w:eastAsia="仿宋"/>
                <w:sz w:val="28"/>
                <w:szCs w:val="28"/>
              </w:rPr>
            </w:pPr>
            <w:r>
              <w:rPr>
                <w:rFonts w:ascii="Times New Roman" w:hAnsi="Times New Roman" w:eastAsia="仿宋"/>
                <w:sz w:val="28"/>
                <w:szCs w:val="28"/>
              </w:rPr>
              <w:t>必考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22" w:type="dxa"/>
            <w:vMerge w:val="continue"/>
            <w:noWrap w:val="0"/>
            <w:vAlign w:val="center"/>
          </w:tcPr>
          <w:p>
            <w:pPr>
              <w:spacing w:line="580" w:lineRule="exact"/>
              <w:jc w:val="center"/>
              <w:rPr>
                <w:rFonts w:ascii="Times New Roman" w:hAnsi="Times New Roman" w:eastAsia="仿宋"/>
                <w:b/>
                <w:bCs/>
                <w:sz w:val="28"/>
                <w:szCs w:val="28"/>
              </w:rPr>
            </w:pPr>
          </w:p>
        </w:tc>
        <w:tc>
          <w:tcPr>
            <w:tcW w:w="926" w:type="dxa"/>
            <w:noWrap w:val="0"/>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2</w:t>
            </w:r>
          </w:p>
        </w:tc>
        <w:tc>
          <w:tcPr>
            <w:tcW w:w="1047" w:type="dxa"/>
            <w:noWrap w:val="0"/>
            <w:vAlign w:val="center"/>
          </w:tcPr>
          <w:p>
            <w:pPr>
              <w:snapToGrid w:val="0"/>
              <w:spacing w:line="580" w:lineRule="exact"/>
              <w:jc w:val="center"/>
              <w:rPr>
                <w:rFonts w:ascii="Times New Roman" w:hAnsi="Times New Roman" w:eastAsia="仿宋"/>
                <w:sz w:val="28"/>
                <w:szCs w:val="28"/>
              </w:rPr>
            </w:pPr>
            <w:r>
              <w:rPr>
                <w:rFonts w:ascii="Times New Roman" w:hAnsi="Times New Roman" w:eastAsia="仿宋"/>
                <w:sz w:val="28"/>
                <w:szCs w:val="28"/>
              </w:rPr>
              <w:t>03709</w:t>
            </w:r>
          </w:p>
        </w:tc>
        <w:tc>
          <w:tcPr>
            <w:tcW w:w="4141" w:type="dxa"/>
            <w:noWrap w:val="0"/>
            <w:vAlign w:val="center"/>
          </w:tcPr>
          <w:p>
            <w:pPr>
              <w:snapToGrid w:val="0"/>
              <w:spacing w:line="580" w:lineRule="exact"/>
              <w:jc w:val="center"/>
              <w:rPr>
                <w:rFonts w:ascii="Times New Roman" w:hAnsi="Times New Roman" w:eastAsia="仿宋"/>
                <w:sz w:val="28"/>
                <w:szCs w:val="28"/>
              </w:rPr>
            </w:pPr>
            <w:r>
              <w:rPr>
                <w:rFonts w:ascii="Times New Roman" w:hAnsi="Times New Roman" w:eastAsia="仿宋"/>
                <w:sz w:val="28"/>
                <w:szCs w:val="28"/>
              </w:rPr>
              <w:t>马克思主义基本原理概论</w:t>
            </w:r>
          </w:p>
        </w:tc>
        <w:tc>
          <w:tcPr>
            <w:tcW w:w="851" w:type="dxa"/>
            <w:noWrap w:val="0"/>
            <w:vAlign w:val="center"/>
          </w:tcPr>
          <w:p>
            <w:pPr>
              <w:snapToGrid w:val="0"/>
              <w:spacing w:line="580" w:lineRule="exact"/>
              <w:jc w:val="center"/>
              <w:rPr>
                <w:rFonts w:ascii="Times New Roman" w:hAnsi="Times New Roman" w:eastAsia="仿宋"/>
                <w:sz w:val="28"/>
                <w:szCs w:val="28"/>
              </w:rPr>
            </w:pPr>
            <w:r>
              <w:rPr>
                <w:rFonts w:ascii="Times New Roman" w:hAnsi="Times New Roman" w:eastAsia="仿宋"/>
                <w:sz w:val="28"/>
                <w:szCs w:val="28"/>
              </w:rPr>
              <w:t>4</w:t>
            </w:r>
          </w:p>
        </w:tc>
        <w:tc>
          <w:tcPr>
            <w:tcW w:w="850" w:type="dxa"/>
            <w:vMerge w:val="continue"/>
            <w:noWrap w:val="0"/>
            <w:vAlign w:val="center"/>
          </w:tcPr>
          <w:p>
            <w:pPr>
              <w:snapToGrid w:val="0"/>
              <w:spacing w:line="580" w:lineRule="exact"/>
              <w:jc w:val="center"/>
              <w:rPr>
                <w:rFonts w:ascii="Times New Roman" w:hAnsi="Times New Roman" w:eastAsia="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22" w:type="dxa"/>
            <w:vMerge w:val="restart"/>
            <w:noWrap w:val="0"/>
            <w:vAlign w:val="center"/>
          </w:tcPr>
          <w:p>
            <w:pPr>
              <w:spacing w:line="580" w:lineRule="exact"/>
              <w:jc w:val="center"/>
              <w:rPr>
                <w:rFonts w:ascii="Times New Roman" w:hAnsi="Times New Roman" w:eastAsia="仿宋"/>
                <w:b/>
                <w:bCs/>
                <w:sz w:val="28"/>
                <w:szCs w:val="28"/>
              </w:rPr>
            </w:pPr>
            <w:r>
              <w:rPr>
                <w:rFonts w:ascii="Times New Roman" w:hAnsi="Times New Roman" w:eastAsia="仿宋"/>
                <w:b/>
                <w:bCs/>
                <w:sz w:val="28"/>
                <w:szCs w:val="28"/>
              </w:rPr>
              <w:t>专</w:t>
            </w:r>
          </w:p>
          <w:p>
            <w:pPr>
              <w:spacing w:line="580" w:lineRule="exact"/>
              <w:jc w:val="center"/>
              <w:rPr>
                <w:rFonts w:ascii="Times New Roman" w:hAnsi="Times New Roman" w:eastAsia="仿宋"/>
                <w:b/>
                <w:bCs/>
                <w:sz w:val="28"/>
                <w:szCs w:val="28"/>
              </w:rPr>
            </w:pPr>
            <w:r>
              <w:rPr>
                <w:rFonts w:ascii="Times New Roman" w:hAnsi="Times New Roman" w:eastAsia="仿宋"/>
                <w:b/>
                <w:bCs/>
                <w:sz w:val="28"/>
                <w:szCs w:val="28"/>
              </w:rPr>
              <w:t>业</w:t>
            </w:r>
          </w:p>
          <w:p>
            <w:pPr>
              <w:spacing w:line="580" w:lineRule="exact"/>
              <w:jc w:val="center"/>
              <w:rPr>
                <w:rFonts w:ascii="Times New Roman" w:hAnsi="Times New Roman" w:eastAsia="仿宋"/>
                <w:b/>
                <w:bCs/>
                <w:sz w:val="28"/>
                <w:szCs w:val="28"/>
              </w:rPr>
            </w:pPr>
            <w:r>
              <w:rPr>
                <w:rFonts w:ascii="Times New Roman" w:hAnsi="Times New Roman" w:eastAsia="仿宋"/>
                <w:b/>
                <w:bCs/>
                <w:sz w:val="28"/>
                <w:szCs w:val="28"/>
              </w:rPr>
              <w:t>核</w:t>
            </w:r>
          </w:p>
          <w:p>
            <w:pPr>
              <w:spacing w:line="580" w:lineRule="exact"/>
              <w:jc w:val="center"/>
              <w:rPr>
                <w:rFonts w:ascii="Times New Roman" w:hAnsi="Times New Roman" w:eastAsia="仿宋"/>
                <w:b/>
                <w:bCs/>
                <w:sz w:val="28"/>
                <w:szCs w:val="28"/>
              </w:rPr>
            </w:pPr>
            <w:r>
              <w:rPr>
                <w:rFonts w:ascii="Times New Roman" w:hAnsi="Times New Roman" w:eastAsia="仿宋"/>
                <w:b/>
                <w:bCs/>
                <w:sz w:val="28"/>
                <w:szCs w:val="28"/>
              </w:rPr>
              <w:t>心</w:t>
            </w:r>
          </w:p>
          <w:p>
            <w:pPr>
              <w:spacing w:line="580" w:lineRule="exact"/>
              <w:jc w:val="center"/>
              <w:rPr>
                <w:rFonts w:ascii="Times New Roman" w:hAnsi="Times New Roman" w:eastAsia="仿宋"/>
                <w:b/>
                <w:bCs/>
                <w:sz w:val="28"/>
                <w:szCs w:val="28"/>
              </w:rPr>
            </w:pPr>
            <w:r>
              <w:rPr>
                <w:rFonts w:ascii="Times New Roman" w:hAnsi="Times New Roman" w:eastAsia="仿宋"/>
                <w:b/>
                <w:bCs/>
                <w:sz w:val="28"/>
                <w:szCs w:val="28"/>
              </w:rPr>
              <w:t>课</w:t>
            </w:r>
          </w:p>
        </w:tc>
        <w:tc>
          <w:tcPr>
            <w:tcW w:w="926" w:type="dxa"/>
            <w:noWrap w:val="0"/>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3</w:t>
            </w:r>
          </w:p>
        </w:tc>
        <w:tc>
          <w:tcPr>
            <w:tcW w:w="1047" w:type="dxa"/>
            <w:noWrap w:val="0"/>
            <w:vAlign w:val="center"/>
          </w:tcPr>
          <w:p>
            <w:pPr>
              <w:snapToGrid w:val="0"/>
              <w:spacing w:line="580" w:lineRule="exact"/>
              <w:jc w:val="center"/>
              <w:rPr>
                <w:rFonts w:ascii="Times New Roman" w:hAnsi="Times New Roman" w:eastAsia="仿宋"/>
                <w:sz w:val="28"/>
                <w:szCs w:val="28"/>
              </w:rPr>
            </w:pPr>
            <w:r>
              <w:rPr>
                <w:rFonts w:ascii="Times New Roman" w:hAnsi="Times New Roman" w:eastAsia="仿宋"/>
                <w:sz w:val="28"/>
                <w:szCs w:val="28"/>
              </w:rPr>
              <w:t>07916</w:t>
            </w:r>
          </w:p>
        </w:tc>
        <w:tc>
          <w:tcPr>
            <w:tcW w:w="4141" w:type="dxa"/>
            <w:noWrap w:val="0"/>
            <w:vAlign w:val="center"/>
          </w:tcPr>
          <w:p>
            <w:pPr>
              <w:widowControl/>
              <w:spacing w:line="580" w:lineRule="exact"/>
              <w:jc w:val="center"/>
              <w:rPr>
                <w:rFonts w:ascii="Times New Roman" w:hAnsi="Times New Roman" w:eastAsia="仿宋"/>
                <w:sz w:val="28"/>
                <w:szCs w:val="28"/>
              </w:rPr>
            </w:pPr>
            <w:r>
              <w:rPr>
                <w:rFonts w:ascii="Times New Roman" w:hAnsi="Times New Roman" w:eastAsia="仿宋"/>
                <w:bCs/>
                <w:color w:val="000000"/>
                <w:sz w:val="28"/>
                <w:szCs w:val="28"/>
              </w:rPr>
              <w:t>计量管理</w:t>
            </w:r>
          </w:p>
        </w:tc>
        <w:tc>
          <w:tcPr>
            <w:tcW w:w="851" w:type="dxa"/>
            <w:noWrap w:val="0"/>
            <w:vAlign w:val="center"/>
          </w:tcPr>
          <w:p>
            <w:pPr>
              <w:snapToGrid w:val="0"/>
              <w:spacing w:line="580" w:lineRule="exact"/>
              <w:jc w:val="center"/>
              <w:rPr>
                <w:rFonts w:ascii="Times New Roman" w:hAnsi="Times New Roman" w:eastAsia="仿宋"/>
                <w:sz w:val="28"/>
                <w:szCs w:val="28"/>
              </w:rPr>
            </w:pPr>
            <w:r>
              <w:rPr>
                <w:rFonts w:ascii="Times New Roman" w:hAnsi="Times New Roman" w:eastAsia="仿宋"/>
                <w:sz w:val="28"/>
                <w:szCs w:val="28"/>
              </w:rPr>
              <w:t>8</w:t>
            </w:r>
          </w:p>
        </w:tc>
        <w:tc>
          <w:tcPr>
            <w:tcW w:w="850" w:type="dxa"/>
            <w:vMerge w:val="continue"/>
            <w:noWrap w:val="0"/>
            <w:vAlign w:val="center"/>
          </w:tcPr>
          <w:p>
            <w:pPr>
              <w:snapToGrid w:val="0"/>
              <w:spacing w:line="580" w:lineRule="exact"/>
              <w:jc w:val="center"/>
              <w:rPr>
                <w:rFonts w:ascii="Times New Roman" w:hAnsi="Times New Roman" w:eastAsia="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22" w:type="dxa"/>
            <w:vMerge w:val="continue"/>
            <w:noWrap w:val="0"/>
            <w:vAlign w:val="center"/>
          </w:tcPr>
          <w:p>
            <w:pPr>
              <w:spacing w:line="580" w:lineRule="exact"/>
              <w:jc w:val="center"/>
              <w:rPr>
                <w:rFonts w:ascii="Times New Roman" w:hAnsi="Times New Roman" w:eastAsia="仿宋"/>
                <w:b/>
                <w:bCs/>
                <w:sz w:val="28"/>
                <w:szCs w:val="28"/>
              </w:rPr>
            </w:pPr>
          </w:p>
        </w:tc>
        <w:tc>
          <w:tcPr>
            <w:tcW w:w="926" w:type="dxa"/>
            <w:noWrap w:val="0"/>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4</w:t>
            </w:r>
          </w:p>
        </w:tc>
        <w:tc>
          <w:tcPr>
            <w:tcW w:w="1047" w:type="dxa"/>
            <w:noWrap w:val="0"/>
            <w:vAlign w:val="center"/>
          </w:tcPr>
          <w:p>
            <w:pPr>
              <w:widowControl/>
              <w:spacing w:line="580" w:lineRule="exact"/>
              <w:jc w:val="center"/>
              <w:rPr>
                <w:rFonts w:ascii="Times New Roman" w:hAnsi="Times New Roman" w:eastAsia="仿宋"/>
                <w:sz w:val="28"/>
                <w:szCs w:val="28"/>
              </w:rPr>
            </w:pPr>
            <w:r>
              <w:rPr>
                <w:rFonts w:ascii="Times New Roman" w:hAnsi="Times New Roman" w:eastAsia="仿宋"/>
                <w:kern w:val="0"/>
                <w:sz w:val="28"/>
                <w:szCs w:val="28"/>
              </w:rPr>
              <w:t>02126</w:t>
            </w:r>
          </w:p>
        </w:tc>
        <w:tc>
          <w:tcPr>
            <w:tcW w:w="4141" w:type="dxa"/>
            <w:noWrap w:val="0"/>
            <w:vAlign w:val="center"/>
          </w:tcPr>
          <w:p>
            <w:pPr>
              <w:widowControl/>
              <w:spacing w:line="580" w:lineRule="exact"/>
              <w:jc w:val="center"/>
              <w:rPr>
                <w:rFonts w:ascii="Times New Roman" w:hAnsi="Times New Roman" w:eastAsia="仿宋"/>
                <w:bCs/>
                <w:color w:val="000000"/>
                <w:sz w:val="28"/>
                <w:szCs w:val="28"/>
              </w:rPr>
            </w:pPr>
            <w:r>
              <w:rPr>
                <w:rFonts w:ascii="Times New Roman" w:hAnsi="Times New Roman" w:eastAsia="仿宋"/>
                <w:bCs/>
                <w:color w:val="000000"/>
                <w:sz w:val="28"/>
                <w:szCs w:val="28"/>
              </w:rPr>
              <w:t>应用文写作</w:t>
            </w:r>
          </w:p>
        </w:tc>
        <w:tc>
          <w:tcPr>
            <w:tcW w:w="851" w:type="dxa"/>
            <w:noWrap w:val="0"/>
            <w:vAlign w:val="center"/>
          </w:tcPr>
          <w:p>
            <w:pPr>
              <w:widowControl/>
              <w:spacing w:line="580" w:lineRule="exact"/>
              <w:jc w:val="center"/>
              <w:rPr>
                <w:rFonts w:ascii="Times New Roman" w:hAnsi="Times New Roman" w:eastAsia="仿宋"/>
                <w:sz w:val="28"/>
                <w:szCs w:val="28"/>
              </w:rPr>
            </w:pPr>
            <w:r>
              <w:rPr>
                <w:rFonts w:ascii="Times New Roman" w:hAnsi="Times New Roman" w:eastAsia="仿宋"/>
                <w:kern w:val="0"/>
                <w:sz w:val="28"/>
                <w:szCs w:val="28"/>
              </w:rPr>
              <w:t>5</w:t>
            </w:r>
          </w:p>
        </w:tc>
        <w:tc>
          <w:tcPr>
            <w:tcW w:w="850" w:type="dxa"/>
            <w:vMerge w:val="continue"/>
            <w:noWrap w:val="0"/>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22" w:type="dxa"/>
            <w:vMerge w:val="continue"/>
            <w:noWrap w:val="0"/>
            <w:vAlign w:val="center"/>
          </w:tcPr>
          <w:p>
            <w:pPr>
              <w:spacing w:line="580" w:lineRule="exact"/>
              <w:jc w:val="center"/>
              <w:rPr>
                <w:rFonts w:ascii="Times New Roman" w:hAnsi="Times New Roman" w:eastAsia="仿宋"/>
                <w:b/>
                <w:bCs/>
                <w:sz w:val="28"/>
                <w:szCs w:val="28"/>
              </w:rPr>
            </w:pPr>
          </w:p>
        </w:tc>
        <w:tc>
          <w:tcPr>
            <w:tcW w:w="926" w:type="dxa"/>
            <w:noWrap w:val="0"/>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5</w:t>
            </w:r>
          </w:p>
        </w:tc>
        <w:tc>
          <w:tcPr>
            <w:tcW w:w="1047" w:type="dxa"/>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sz w:val="28"/>
                <w:szCs w:val="28"/>
              </w:rPr>
              <w:t>14932</w:t>
            </w:r>
          </w:p>
        </w:tc>
        <w:tc>
          <w:tcPr>
            <w:tcW w:w="4141" w:type="dxa"/>
            <w:noWrap w:val="0"/>
            <w:vAlign w:val="center"/>
          </w:tcPr>
          <w:p>
            <w:pPr>
              <w:widowControl/>
              <w:spacing w:line="580" w:lineRule="exact"/>
              <w:jc w:val="center"/>
              <w:rPr>
                <w:rFonts w:ascii="Times New Roman" w:hAnsi="Times New Roman" w:eastAsia="仿宋"/>
                <w:bCs/>
                <w:color w:val="000000"/>
                <w:sz w:val="28"/>
                <w:szCs w:val="28"/>
              </w:rPr>
            </w:pPr>
            <w:r>
              <w:rPr>
                <w:rFonts w:ascii="Times New Roman" w:hAnsi="Times New Roman" w:eastAsia="仿宋"/>
                <w:bCs/>
                <w:color w:val="000000"/>
                <w:sz w:val="28"/>
                <w:szCs w:val="28"/>
              </w:rPr>
              <w:t>质量管理学</w:t>
            </w:r>
          </w:p>
        </w:tc>
        <w:tc>
          <w:tcPr>
            <w:tcW w:w="851" w:type="dxa"/>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5</w:t>
            </w:r>
          </w:p>
        </w:tc>
        <w:tc>
          <w:tcPr>
            <w:tcW w:w="850" w:type="dxa"/>
            <w:vMerge w:val="continue"/>
            <w:noWrap w:val="0"/>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22" w:type="dxa"/>
            <w:vMerge w:val="continue"/>
            <w:noWrap w:val="0"/>
            <w:vAlign w:val="center"/>
          </w:tcPr>
          <w:p>
            <w:pPr>
              <w:spacing w:line="580" w:lineRule="exact"/>
              <w:jc w:val="center"/>
              <w:rPr>
                <w:rFonts w:ascii="Times New Roman" w:hAnsi="Times New Roman" w:eastAsia="仿宋"/>
                <w:b/>
                <w:bCs/>
                <w:sz w:val="28"/>
                <w:szCs w:val="28"/>
              </w:rPr>
            </w:pPr>
          </w:p>
        </w:tc>
        <w:tc>
          <w:tcPr>
            <w:tcW w:w="926" w:type="dxa"/>
            <w:noWrap w:val="0"/>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6</w:t>
            </w:r>
          </w:p>
        </w:tc>
        <w:tc>
          <w:tcPr>
            <w:tcW w:w="1047" w:type="dxa"/>
            <w:noWrap w:val="0"/>
            <w:vAlign w:val="center"/>
          </w:tcPr>
          <w:p>
            <w:pPr>
              <w:snapToGrid w:val="0"/>
              <w:spacing w:line="580" w:lineRule="exact"/>
              <w:jc w:val="center"/>
              <w:rPr>
                <w:rFonts w:ascii="Times New Roman" w:hAnsi="Times New Roman" w:eastAsia="仿宋"/>
                <w:sz w:val="28"/>
                <w:szCs w:val="28"/>
              </w:rPr>
            </w:pPr>
            <w:r>
              <w:rPr>
                <w:rFonts w:ascii="Times New Roman" w:hAnsi="Times New Roman" w:eastAsia="仿宋"/>
                <w:sz w:val="28"/>
                <w:szCs w:val="28"/>
              </w:rPr>
              <w:t>14933</w:t>
            </w:r>
          </w:p>
        </w:tc>
        <w:tc>
          <w:tcPr>
            <w:tcW w:w="4141" w:type="dxa"/>
            <w:noWrap w:val="0"/>
            <w:vAlign w:val="center"/>
          </w:tcPr>
          <w:p>
            <w:pPr>
              <w:widowControl/>
              <w:spacing w:line="580" w:lineRule="exact"/>
              <w:jc w:val="center"/>
              <w:rPr>
                <w:rFonts w:ascii="Times New Roman" w:hAnsi="Times New Roman" w:eastAsia="仿宋"/>
                <w:bCs/>
                <w:color w:val="000000"/>
                <w:sz w:val="28"/>
                <w:szCs w:val="28"/>
              </w:rPr>
            </w:pPr>
            <w:r>
              <w:rPr>
                <w:rFonts w:ascii="Times New Roman" w:hAnsi="Times New Roman" w:eastAsia="仿宋"/>
                <w:bCs/>
                <w:color w:val="000000"/>
                <w:sz w:val="28"/>
                <w:szCs w:val="28"/>
              </w:rPr>
              <w:t>质量政策及法律法规</w:t>
            </w:r>
          </w:p>
        </w:tc>
        <w:tc>
          <w:tcPr>
            <w:tcW w:w="851" w:type="dxa"/>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4</w:t>
            </w:r>
          </w:p>
        </w:tc>
        <w:tc>
          <w:tcPr>
            <w:tcW w:w="850" w:type="dxa"/>
            <w:vMerge w:val="continue"/>
            <w:noWrap w:val="0"/>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22" w:type="dxa"/>
            <w:vMerge w:val="continue"/>
            <w:noWrap w:val="0"/>
            <w:vAlign w:val="center"/>
          </w:tcPr>
          <w:p>
            <w:pPr>
              <w:spacing w:line="580" w:lineRule="exact"/>
              <w:jc w:val="center"/>
              <w:rPr>
                <w:rFonts w:ascii="Times New Roman" w:hAnsi="Times New Roman" w:eastAsia="仿宋"/>
                <w:b/>
                <w:bCs/>
                <w:sz w:val="28"/>
                <w:szCs w:val="28"/>
              </w:rPr>
            </w:pPr>
          </w:p>
        </w:tc>
        <w:tc>
          <w:tcPr>
            <w:tcW w:w="926" w:type="dxa"/>
            <w:noWrap w:val="0"/>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7</w:t>
            </w:r>
          </w:p>
        </w:tc>
        <w:tc>
          <w:tcPr>
            <w:tcW w:w="1047" w:type="dxa"/>
            <w:noWrap w:val="0"/>
            <w:vAlign w:val="center"/>
          </w:tcPr>
          <w:p>
            <w:pPr>
              <w:snapToGrid w:val="0"/>
              <w:spacing w:line="580" w:lineRule="exact"/>
              <w:jc w:val="center"/>
              <w:rPr>
                <w:rFonts w:ascii="Times New Roman" w:hAnsi="Times New Roman" w:eastAsia="仿宋"/>
                <w:sz w:val="28"/>
                <w:szCs w:val="28"/>
              </w:rPr>
            </w:pPr>
            <w:r>
              <w:rPr>
                <w:rFonts w:ascii="Times New Roman" w:hAnsi="Times New Roman" w:eastAsia="仿宋"/>
                <w:sz w:val="28"/>
                <w:szCs w:val="28"/>
              </w:rPr>
              <w:t>14934</w:t>
            </w:r>
          </w:p>
        </w:tc>
        <w:tc>
          <w:tcPr>
            <w:tcW w:w="4141" w:type="dxa"/>
            <w:noWrap w:val="0"/>
            <w:vAlign w:val="center"/>
          </w:tcPr>
          <w:p>
            <w:pPr>
              <w:widowControl/>
              <w:spacing w:line="580" w:lineRule="exact"/>
              <w:jc w:val="center"/>
              <w:rPr>
                <w:rFonts w:ascii="Times New Roman" w:hAnsi="Times New Roman" w:eastAsia="仿宋"/>
                <w:bCs/>
                <w:color w:val="FF0000"/>
                <w:sz w:val="28"/>
                <w:szCs w:val="28"/>
              </w:rPr>
            </w:pPr>
            <w:r>
              <w:rPr>
                <w:rFonts w:ascii="Times New Roman" w:hAnsi="Times New Roman" w:eastAsia="仿宋"/>
                <w:bCs/>
                <w:sz w:val="28"/>
                <w:szCs w:val="28"/>
              </w:rPr>
              <w:t>综合质量管理体系</w:t>
            </w:r>
          </w:p>
        </w:tc>
        <w:tc>
          <w:tcPr>
            <w:tcW w:w="851" w:type="dxa"/>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5</w:t>
            </w:r>
          </w:p>
        </w:tc>
        <w:tc>
          <w:tcPr>
            <w:tcW w:w="850" w:type="dxa"/>
            <w:vMerge w:val="continue"/>
            <w:noWrap w:val="0"/>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5" w:hRule="atLeast"/>
          <w:jc w:val="center"/>
        </w:trPr>
        <w:tc>
          <w:tcPr>
            <w:tcW w:w="822" w:type="dxa"/>
            <w:vMerge w:val="continue"/>
            <w:noWrap w:val="0"/>
            <w:vAlign w:val="center"/>
          </w:tcPr>
          <w:p>
            <w:pPr>
              <w:spacing w:line="580" w:lineRule="exact"/>
              <w:jc w:val="center"/>
              <w:rPr>
                <w:rFonts w:ascii="Times New Roman" w:hAnsi="Times New Roman" w:eastAsia="仿宋"/>
                <w:b/>
                <w:bCs/>
                <w:sz w:val="28"/>
                <w:szCs w:val="28"/>
              </w:rPr>
            </w:pPr>
          </w:p>
        </w:tc>
        <w:tc>
          <w:tcPr>
            <w:tcW w:w="926" w:type="dxa"/>
            <w:noWrap w:val="0"/>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8</w:t>
            </w:r>
          </w:p>
        </w:tc>
        <w:tc>
          <w:tcPr>
            <w:tcW w:w="1047" w:type="dxa"/>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sz w:val="28"/>
                <w:szCs w:val="28"/>
              </w:rPr>
              <w:t>02627</w:t>
            </w:r>
          </w:p>
        </w:tc>
        <w:tc>
          <w:tcPr>
            <w:tcW w:w="4141" w:type="dxa"/>
            <w:noWrap w:val="0"/>
            <w:vAlign w:val="center"/>
          </w:tcPr>
          <w:p>
            <w:pPr>
              <w:widowControl/>
              <w:spacing w:line="580" w:lineRule="exact"/>
              <w:jc w:val="center"/>
              <w:rPr>
                <w:rFonts w:ascii="Times New Roman" w:hAnsi="Times New Roman" w:eastAsia="仿宋"/>
                <w:bCs/>
                <w:color w:val="000000"/>
                <w:sz w:val="28"/>
                <w:szCs w:val="28"/>
              </w:rPr>
            </w:pPr>
            <w:r>
              <w:rPr>
                <w:rFonts w:ascii="Times New Roman" w:hAnsi="Times New Roman" w:eastAsia="仿宋"/>
                <w:sz w:val="28"/>
                <w:szCs w:val="28"/>
              </w:rPr>
              <w:t>运筹学与系统分析</w:t>
            </w:r>
          </w:p>
        </w:tc>
        <w:tc>
          <w:tcPr>
            <w:tcW w:w="851" w:type="dxa"/>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5</w:t>
            </w:r>
          </w:p>
        </w:tc>
        <w:tc>
          <w:tcPr>
            <w:tcW w:w="850" w:type="dxa"/>
            <w:vMerge w:val="continue"/>
            <w:noWrap w:val="0"/>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822" w:type="dxa"/>
            <w:vMerge w:val="continue"/>
            <w:noWrap w:val="0"/>
            <w:vAlign w:val="center"/>
          </w:tcPr>
          <w:p>
            <w:pPr>
              <w:spacing w:line="580" w:lineRule="exact"/>
              <w:jc w:val="center"/>
              <w:rPr>
                <w:rFonts w:ascii="Times New Roman" w:hAnsi="Times New Roman" w:eastAsia="仿宋"/>
                <w:b/>
                <w:bCs/>
                <w:sz w:val="28"/>
                <w:szCs w:val="28"/>
              </w:rPr>
            </w:pPr>
          </w:p>
        </w:tc>
        <w:tc>
          <w:tcPr>
            <w:tcW w:w="926" w:type="dxa"/>
            <w:noWrap w:val="0"/>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9</w:t>
            </w:r>
          </w:p>
        </w:tc>
        <w:tc>
          <w:tcPr>
            <w:tcW w:w="1047" w:type="dxa"/>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sz w:val="28"/>
                <w:szCs w:val="28"/>
              </w:rPr>
              <w:t>14935</w:t>
            </w:r>
          </w:p>
        </w:tc>
        <w:tc>
          <w:tcPr>
            <w:tcW w:w="4141" w:type="dxa"/>
            <w:noWrap w:val="0"/>
            <w:vAlign w:val="center"/>
          </w:tcPr>
          <w:p>
            <w:pPr>
              <w:widowControl/>
              <w:spacing w:line="580" w:lineRule="exact"/>
              <w:jc w:val="center"/>
              <w:rPr>
                <w:rFonts w:ascii="Times New Roman" w:hAnsi="Times New Roman" w:eastAsia="仿宋"/>
                <w:bCs/>
                <w:color w:val="000000"/>
                <w:sz w:val="28"/>
                <w:szCs w:val="28"/>
              </w:rPr>
            </w:pPr>
            <w:r>
              <w:rPr>
                <w:rFonts w:ascii="Times New Roman" w:hAnsi="Times New Roman" w:eastAsia="仿宋"/>
                <w:color w:val="000000"/>
                <w:kern w:val="0"/>
                <w:sz w:val="28"/>
                <w:szCs w:val="28"/>
              </w:rPr>
              <w:t>质</w:t>
            </w:r>
            <w:r>
              <w:rPr>
                <w:rFonts w:ascii="Times New Roman" w:hAnsi="Times New Roman" w:eastAsia="仿宋"/>
                <w:kern w:val="0"/>
                <w:sz w:val="28"/>
                <w:szCs w:val="28"/>
              </w:rPr>
              <w:t>量管理工程实践</w:t>
            </w:r>
          </w:p>
        </w:tc>
        <w:tc>
          <w:tcPr>
            <w:tcW w:w="851" w:type="dxa"/>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4</w:t>
            </w:r>
          </w:p>
        </w:tc>
        <w:tc>
          <w:tcPr>
            <w:tcW w:w="850" w:type="dxa"/>
            <w:vMerge w:val="continue"/>
            <w:noWrap w:val="0"/>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22" w:type="dxa"/>
            <w:vMerge w:val="restart"/>
            <w:noWrap w:val="0"/>
            <w:vAlign w:val="center"/>
          </w:tcPr>
          <w:p>
            <w:pPr>
              <w:spacing w:line="580" w:lineRule="exact"/>
              <w:jc w:val="center"/>
              <w:rPr>
                <w:rFonts w:ascii="Times New Roman" w:hAnsi="Times New Roman" w:eastAsia="仿宋"/>
                <w:b/>
                <w:bCs/>
                <w:sz w:val="28"/>
                <w:szCs w:val="28"/>
              </w:rPr>
            </w:pPr>
            <w:r>
              <w:rPr>
                <w:rFonts w:ascii="Times New Roman" w:hAnsi="Times New Roman" w:eastAsia="仿宋"/>
                <w:b/>
                <w:bCs/>
                <w:sz w:val="28"/>
                <w:szCs w:val="28"/>
              </w:rPr>
              <w:t>推</w:t>
            </w:r>
          </w:p>
          <w:p>
            <w:pPr>
              <w:spacing w:line="580" w:lineRule="exact"/>
              <w:jc w:val="center"/>
              <w:rPr>
                <w:rFonts w:ascii="Times New Roman" w:hAnsi="Times New Roman" w:eastAsia="仿宋"/>
                <w:b/>
                <w:bCs/>
                <w:sz w:val="28"/>
                <w:szCs w:val="28"/>
              </w:rPr>
            </w:pPr>
            <w:r>
              <w:rPr>
                <w:rFonts w:ascii="Times New Roman" w:hAnsi="Times New Roman" w:eastAsia="仿宋"/>
                <w:b/>
                <w:bCs/>
                <w:sz w:val="28"/>
                <w:szCs w:val="28"/>
              </w:rPr>
              <w:t>荐</w:t>
            </w:r>
          </w:p>
          <w:p>
            <w:pPr>
              <w:spacing w:line="580" w:lineRule="exact"/>
              <w:jc w:val="center"/>
              <w:rPr>
                <w:rFonts w:ascii="Times New Roman" w:hAnsi="Times New Roman" w:eastAsia="仿宋"/>
                <w:b/>
                <w:bCs/>
                <w:sz w:val="28"/>
                <w:szCs w:val="28"/>
              </w:rPr>
            </w:pPr>
            <w:r>
              <w:rPr>
                <w:rFonts w:ascii="Times New Roman" w:hAnsi="Times New Roman" w:eastAsia="仿宋"/>
                <w:b/>
                <w:bCs/>
                <w:sz w:val="28"/>
                <w:szCs w:val="28"/>
              </w:rPr>
              <w:t>选</w:t>
            </w:r>
          </w:p>
          <w:p>
            <w:pPr>
              <w:spacing w:line="580" w:lineRule="exact"/>
              <w:jc w:val="center"/>
              <w:rPr>
                <w:rFonts w:ascii="Times New Roman" w:hAnsi="Times New Roman" w:eastAsia="仿宋"/>
                <w:b/>
                <w:bCs/>
                <w:sz w:val="28"/>
                <w:szCs w:val="28"/>
              </w:rPr>
            </w:pPr>
            <w:r>
              <w:rPr>
                <w:rFonts w:ascii="Times New Roman" w:hAnsi="Times New Roman" w:eastAsia="仿宋"/>
                <w:b/>
                <w:bCs/>
                <w:sz w:val="28"/>
                <w:szCs w:val="28"/>
              </w:rPr>
              <w:t>考</w:t>
            </w:r>
          </w:p>
          <w:p>
            <w:pPr>
              <w:spacing w:line="580" w:lineRule="exact"/>
              <w:jc w:val="center"/>
              <w:rPr>
                <w:rFonts w:ascii="Times New Roman" w:hAnsi="Times New Roman" w:eastAsia="仿宋"/>
                <w:b/>
                <w:bCs/>
                <w:sz w:val="28"/>
                <w:szCs w:val="28"/>
              </w:rPr>
            </w:pPr>
            <w:r>
              <w:rPr>
                <w:rFonts w:ascii="Times New Roman" w:hAnsi="Times New Roman" w:eastAsia="仿宋"/>
                <w:b/>
                <w:bCs/>
                <w:sz w:val="28"/>
                <w:szCs w:val="28"/>
              </w:rPr>
              <w:t>课</w:t>
            </w:r>
          </w:p>
        </w:tc>
        <w:tc>
          <w:tcPr>
            <w:tcW w:w="926" w:type="dxa"/>
            <w:vMerge w:val="restart"/>
            <w:noWrap w:val="0"/>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1</w:t>
            </w:r>
          </w:p>
        </w:tc>
        <w:tc>
          <w:tcPr>
            <w:tcW w:w="1047" w:type="dxa"/>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14938</w:t>
            </w:r>
          </w:p>
        </w:tc>
        <w:tc>
          <w:tcPr>
            <w:tcW w:w="4141" w:type="dxa"/>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质量统计技术</w:t>
            </w:r>
          </w:p>
        </w:tc>
        <w:tc>
          <w:tcPr>
            <w:tcW w:w="851" w:type="dxa"/>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4</w:t>
            </w:r>
          </w:p>
        </w:tc>
        <w:tc>
          <w:tcPr>
            <w:tcW w:w="850" w:type="dxa"/>
            <w:vMerge w:val="restart"/>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选考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22" w:type="dxa"/>
            <w:vMerge w:val="continue"/>
            <w:noWrap w:val="0"/>
            <w:vAlign w:val="center"/>
          </w:tcPr>
          <w:p>
            <w:pPr>
              <w:spacing w:line="580" w:lineRule="exact"/>
              <w:jc w:val="center"/>
              <w:rPr>
                <w:rFonts w:ascii="Times New Roman" w:hAnsi="Times New Roman" w:eastAsia="仿宋"/>
                <w:b/>
                <w:bCs/>
                <w:sz w:val="28"/>
                <w:szCs w:val="28"/>
              </w:rPr>
            </w:pPr>
          </w:p>
        </w:tc>
        <w:tc>
          <w:tcPr>
            <w:tcW w:w="926" w:type="dxa"/>
            <w:vMerge w:val="continue"/>
            <w:noWrap w:val="0"/>
            <w:vAlign w:val="center"/>
          </w:tcPr>
          <w:p>
            <w:pPr>
              <w:spacing w:line="580" w:lineRule="exact"/>
              <w:jc w:val="center"/>
              <w:rPr>
                <w:rFonts w:ascii="Times New Roman" w:hAnsi="Times New Roman" w:eastAsia="仿宋"/>
                <w:bCs/>
                <w:sz w:val="28"/>
                <w:szCs w:val="28"/>
              </w:rPr>
            </w:pPr>
          </w:p>
        </w:tc>
        <w:tc>
          <w:tcPr>
            <w:tcW w:w="1047" w:type="dxa"/>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14939</w:t>
            </w:r>
          </w:p>
        </w:tc>
        <w:tc>
          <w:tcPr>
            <w:tcW w:w="4141" w:type="dxa"/>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质量统计技术（实践）</w:t>
            </w:r>
          </w:p>
        </w:tc>
        <w:tc>
          <w:tcPr>
            <w:tcW w:w="851" w:type="dxa"/>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1</w:t>
            </w:r>
          </w:p>
        </w:tc>
        <w:tc>
          <w:tcPr>
            <w:tcW w:w="850" w:type="dxa"/>
            <w:vMerge w:val="continue"/>
            <w:noWrap w:val="0"/>
            <w:vAlign w:val="center"/>
          </w:tcPr>
          <w:p>
            <w:pPr>
              <w:widowControl/>
              <w:spacing w:line="580" w:lineRule="exact"/>
              <w:jc w:val="center"/>
              <w:rPr>
                <w:rFonts w:ascii="Times New Roman" w:hAnsi="Times New Roman" w:eastAsia="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22" w:type="dxa"/>
            <w:vMerge w:val="continue"/>
            <w:noWrap w:val="0"/>
            <w:vAlign w:val="center"/>
          </w:tcPr>
          <w:p>
            <w:pPr>
              <w:spacing w:line="580" w:lineRule="exact"/>
              <w:jc w:val="center"/>
              <w:rPr>
                <w:rFonts w:ascii="Times New Roman" w:hAnsi="Times New Roman" w:eastAsia="仿宋"/>
                <w:b/>
                <w:bCs/>
                <w:sz w:val="28"/>
                <w:szCs w:val="28"/>
              </w:rPr>
            </w:pPr>
          </w:p>
        </w:tc>
        <w:tc>
          <w:tcPr>
            <w:tcW w:w="926" w:type="dxa"/>
            <w:noWrap w:val="0"/>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2</w:t>
            </w:r>
          </w:p>
        </w:tc>
        <w:tc>
          <w:tcPr>
            <w:tcW w:w="1047" w:type="dxa"/>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14936</w:t>
            </w:r>
          </w:p>
        </w:tc>
        <w:tc>
          <w:tcPr>
            <w:tcW w:w="4141" w:type="dxa"/>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质量意识与质量文化</w:t>
            </w:r>
          </w:p>
        </w:tc>
        <w:tc>
          <w:tcPr>
            <w:tcW w:w="851" w:type="dxa"/>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5</w:t>
            </w:r>
          </w:p>
        </w:tc>
        <w:tc>
          <w:tcPr>
            <w:tcW w:w="850" w:type="dxa"/>
            <w:vMerge w:val="continue"/>
            <w:noWrap w:val="0"/>
            <w:vAlign w:val="center"/>
          </w:tcPr>
          <w:p>
            <w:pPr>
              <w:widowControl/>
              <w:spacing w:line="580" w:lineRule="exact"/>
              <w:jc w:val="center"/>
              <w:rPr>
                <w:rFonts w:ascii="Times New Roman" w:hAnsi="Times New Roman" w:eastAsia="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22" w:type="dxa"/>
            <w:vMerge w:val="continue"/>
            <w:noWrap w:val="0"/>
            <w:vAlign w:val="center"/>
          </w:tcPr>
          <w:p>
            <w:pPr>
              <w:spacing w:line="580" w:lineRule="exact"/>
              <w:jc w:val="center"/>
              <w:rPr>
                <w:rFonts w:ascii="Times New Roman" w:hAnsi="Times New Roman" w:eastAsia="仿宋"/>
                <w:b/>
                <w:bCs/>
                <w:sz w:val="28"/>
                <w:szCs w:val="28"/>
              </w:rPr>
            </w:pPr>
          </w:p>
        </w:tc>
        <w:tc>
          <w:tcPr>
            <w:tcW w:w="926" w:type="dxa"/>
            <w:noWrap w:val="0"/>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3</w:t>
            </w:r>
          </w:p>
        </w:tc>
        <w:tc>
          <w:tcPr>
            <w:tcW w:w="1047" w:type="dxa"/>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14937</w:t>
            </w:r>
          </w:p>
        </w:tc>
        <w:tc>
          <w:tcPr>
            <w:tcW w:w="4141" w:type="dxa"/>
            <w:noWrap w:val="0"/>
            <w:vAlign w:val="center"/>
          </w:tcPr>
          <w:p>
            <w:pPr>
              <w:widowControl/>
              <w:spacing w:line="580" w:lineRule="exact"/>
              <w:jc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质量管理信息系统</w:t>
            </w:r>
          </w:p>
        </w:tc>
        <w:tc>
          <w:tcPr>
            <w:tcW w:w="851" w:type="dxa"/>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5</w:t>
            </w:r>
          </w:p>
        </w:tc>
        <w:tc>
          <w:tcPr>
            <w:tcW w:w="850" w:type="dxa"/>
            <w:vMerge w:val="continue"/>
            <w:noWrap w:val="0"/>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22" w:type="dxa"/>
            <w:vMerge w:val="continue"/>
            <w:noWrap w:val="0"/>
            <w:vAlign w:val="center"/>
          </w:tcPr>
          <w:p>
            <w:pPr>
              <w:spacing w:line="580" w:lineRule="exact"/>
              <w:jc w:val="center"/>
              <w:rPr>
                <w:rFonts w:ascii="Times New Roman" w:hAnsi="Times New Roman" w:eastAsia="仿宋"/>
                <w:b/>
                <w:bCs/>
                <w:sz w:val="28"/>
                <w:szCs w:val="28"/>
              </w:rPr>
            </w:pPr>
          </w:p>
        </w:tc>
        <w:tc>
          <w:tcPr>
            <w:tcW w:w="926" w:type="dxa"/>
            <w:noWrap w:val="0"/>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4</w:t>
            </w:r>
          </w:p>
        </w:tc>
        <w:tc>
          <w:tcPr>
            <w:tcW w:w="1047" w:type="dxa"/>
            <w:noWrap w:val="0"/>
            <w:vAlign w:val="center"/>
          </w:tcPr>
          <w:p>
            <w:pPr>
              <w:spacing w:line="580" w:lineRule="exact"/>
              <w:jc w:val="center"/>
              <w:rPr>
                <w:rFonts w:ascii="Times New Roman" w:hAnsi="Times New Roman" w:eastAsia="仿宋"/>
                <w:kern w:val="0"/>
                <w:sz w:val="28"/>
                <w:szCs w:val="28"/>
              </w:rPr>
            </w:pPr>
            <w:r>
              <w:rPr>
                <w:rFonts w:ascii="Times New Roman" w:hAnsi="Times New Roman" w:eastAsia="仿宋"/>
                <w:sz w:val="28"/>
                <w:szCs w:val="28"/>
              </w:rPr>
              <w:t>14941</w:t>
            </w:r>
          </w:p>
        </w:tc>
        <w:tc>
          <w:tcPr>
            <w:tcW w:w="4141" w:type="dxa"/>
            <w:noWrap w:val="0"/>
            <w:vAlign w:val="center"/>
          </w:tcPr>
          <w:p>
            <w:pPr>
              <w:widowControl/>
              <w:spacing w:line="580" w:lineRule="exact"/>
              <w:jc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供应商质量管理</w:t>
            </w:r>
          </w:p>
        </w:tc>
        <w:tc>
          <w:tcPr>
            <w:tcW w:w="851" w:type="dxa"/>
            <w:noWrap w:val="0"/>
            <w:vAlign w:val="center"/>
          </w:tcPr>
          <w:p>
            <w:pPr>
              <w:widowControl/>
              <w:spacing w:line="580" w:lineRule="exact"/>
              <w:jc w:val="center"/>
              <w:rPr>
                <w:rFonts w:ascii="Times New Roman" w:hAnsi="Times New Roman" w:eastAsia="仿宋"/>
                <w:color w:val="000000"/>
                <w:sz w:val="28"/>
                <w:szCs w:val="28"/>
              </w:rPr>
            </w:pPr>
            <w:r>
              <w:rPr>
                <w:rFonts w:ascii="Times New Roman" w:hAnsi="Times New Roman" w:eastAsia="仿宋"/>
                <w:kern w:val="0"/>
                <w:sz w:val="28"/>
                <w:szCs w:val="28"/>
              </w:rPr>
              <w:t>5</w:t>
            </w:r>
          </w:p>
        </w:tc>
        <w:tc>
          <w:tcPr>
            <w:tcW w:w="850" w:type="dxa"/>
            <w:vMerge w:val="continue"/>
            <w:noWrap w:val="0"/>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22" w:type="dxa"/>
            <w:vMerge w:val="continue"/>
            <w:noWrap w:val="0"/>
            <w:vAlign w:val="center"/>
          </w:tcPr>
          <w:p>
            <w:pPr>
              <w:spacing w:line="580" w:lineRule="exact"/>
              <w:jc w:val="center"/>
              <w:rPr>
                <w:rFonts w:ascii="Times New Roman" w:hAnsi="Times New Roman" w:eastAsia="仿宋"/>
                <w:b/>
                <w:bCs/>
                <w:sz w:val="28"/>
                <w:szCs w:val="28"/>
              </w:rPr>
            </w:pPr>
          </w:p>
        </w:tc>
        <w:tc>
          <w:tcPr>
            <w:tcW w:w="926" w:type="dxa"/>
            <w:noWrap w:val="0"/>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5</w:t>
            </w:r>
          </w:p>
        </w:tc>
        <w:tc>
          <w:tcPr>
            <w:tcW w:w="1047" w:type="dxa"/>
            <w:noWrap w:val="0"/>
            <w:vAlign w:val="center"/>
          </w:tcPr>
          <w:p>
            <w:pPr>
              <w:widowControl/>
              <w:spacing w:line="580" w:lineRule="exact"/>
              <w:jc w:val="center"/>
              <w:rPr>
                <w:rFonts w:ascii="Times New Roman" w:hAnsi="Times New Roman" w:eastAsia="仿宋"/>
                <w:sz w:val="28"/>
                <w:szCs w:val="28"/>
              </w:rPr>
            </w:pPr>
            <w:r>
              <w:rPr>
                <w:rFonts w:ascii="Times New Roman" w:hAnsi="Times New Roman" w:eastAsia="仿宋"/>
                <w:sz w:val="28"/>
                <w:szCs w:val="28"/>
              </w:rPr>
              <w:t>14947</w:t>
            </w:r>
          </w:p>
        </w:tc>
        <w:tc>
          <w:tcPr>
            <w:tcW w:w="4141" w:type="dxa"/>
            <w:noWrap w:val="0"/>
            <w:vAlign w:val="center"/>
          </w:tcPr>
          <w:p>
            <w:pPr>
              <w:widowControl/>
              <w:spacing w:line="580" w:lineRule="exact"/>
              <w:jc w:val="center"/>
              <w:rPr>
                <w:rFonts w:ascii="Times New Roman" w:hAnsi="Times New Roman" w:eastAsia="仿宋"/>
                <w:color w:val="000000"/>
                <w:kern w:val="0"/>
                <w:sz w:val="28"/>
                <w:szCs w:val="28"/>
              </w:rPr>
            </w:pPr>
            <w:r>
              <w:rPr>
                <w:rFonts w:ascii="Times New Roman" w:hAnsi="Times New Roman" w:eastAsia="仿宋"/>
                <w:bCs/>
                <w:sz w:val="28"/>
                <w:szCs w:val="28"/>
              </w:rPr>
              <w:t>数字化质量管理</w:t>
            </w:r>
          </w:p>
        </w:tc>
        <w:tc>
          <w:tcPr>
            <w:tcW w:w="851" w:type="dxa"/>
            <w:noWrap w:val="0"/>
            <w:vAlign w:val="center"/>
          </w:tcPr>
          <w:p>
            <w:pPr>
              <w:widowControl/>
              <w:spacing w:line="580" w:lineRule="exact"/>
              <w:jc w:val="center"/>
              <w:rPr>
                <w:rFonts w:ascii="Times New Roman" w:hAnsi="Times New Roman" w:eastAsia="仿宋"/>
                <w:color w:val="000000"/>
                <w:sz w:val="28"/>
                <w:szCs w:val="28"/>
              </w:rPr>
            </w:pPr>
            <w:r>
              <w:rPr>
                <w:rFonts w:ascii="Times New Roman" w:hAnsi="Times New Roman" w:eastAsia="仿宋"/>
                <w:kern w:val="0"/>
                <w:sz w:val="28"/>
                <w:szCs w:val="28"/>
              </w:rPr>
              <w:t>5</w:t>
            </w:r>
          </w:p>
        </w:tc>
        <w:tc>
          <w:tcPr>
            <w:tcW w:w="850" w:type="dxa"/>
            <w:vMerge w:val="continue"/>
            <w:noWrap w:val="0"/>
            <w:vAlign w:val="center"/>
          </w:tcPr>
          <w:p>
            <w:pPr>
              <w:widowControl/>
              <w:spacing w:line="580" w:lineRule="exact"/>
              <w:jc w:val="center"/>
              <w:rPr>
                <w:rFonts w:ascii="Times New Roman" w:hAnsi="Times New Roman" w:eastAsia="仿宋"/>
                <w:color w:val="00000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22" w:type="dxa"/>
            <w:vMerge w:val="continue"/>
            <w:noWrap w:val="0"/>
            <w:vAlign w:val="center"/>
          </w:tcPr>
          <w:p>
            <w:pPr>
              <w:spacing w:line="580" w:lineRule="exact"/>
              <w:jc w:val="center"/>
              <w:rPr>
                <w:rFonts w:ascii="Times New Roman" w:hAnsi="Times New Roman" w:eastAsia="仿宋"/>
                <w:b/>
                <w:bCs/>
                <w:sz w:val="28"/>
                <w:szCs w:val="28"/>
              </w:rPr>
            </w:pPr>
          </w:p>
        </w:tc>
        <w:tc>
          <w:tcPr>
            <w:tcW w:w="926" w:type="dxa"/>
            <w:noWrap w:val="0"/>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6</w:t>
            </w:r>
          </w:p>
        </w:tc>
        <w:tc>
          <w:tcPr>
            <w:tcW w:w="1047" w:type="dxa"/>
            <w:noWrap w:val="0"/>
            <w:vAlign w:val="center"/>
          </w:tcPr>
          <w:p>
            <w:pPr>
              <w:widowControl/>
              <w:spacing w:line="580" w:lineRule="exact"/>
              <w:jc w:val="center"/>
              <w:rPr>
                <w:rFonts w:ascii="Times New Roman" w:hAnsi="Times New Roman" w:eastAsia="仿宋"/>
                <w:sz w:val="28"/>
                <w:szCs w:val="28"/>
              </w:rPr>
            </w:pPr>
            <w:r>
              <w:rPr>
                <w:rFonts w:hint="eastAsia" w:ascii="Times New Roman" w:hAnsi="Times New Roman" w:eastAsia="仿宋"/>
                <w:sz w:val="28"/>
                <w:szCs w:val="28"/>
              </w:rPr>
              <w:t>14944</w:t>
            </w:r>
          </w:p>
        </w:tc>
        <w:tc>
          <w:tcPr>
            <w:tcW w:w="4141" w:type="dxa"/>
            <w:noWrap w:val="0"/>
            <w:vAlign w:val="center"/>
          </w:tcPr>
          <w:p>
            <w:pPr>
              <w:widowControl/>
              <w:spacing w:line="580" w:lineRule="exact"/>
              <w:jc w:val="center"/>
              <w:rPr>
                <w:rFonts w:ascii="Times New Roman" w:hAnsi="Times New Roman" w:eastAsia="仿宋"/>
                <w:color w:val="000000"/>
                <w:kern w:val="0"/>
                <w:sz w:val="28"/>
                <w:szCs w:val="28"/>
              </w:rPr>
            </w:pPr>
            <w:r>
              <w:rPr>
                <w:rFonts w:hint="eastAsia" w:ascii="Times New Roman" w:hAnsi="Times New Roman" w:eastAsia="仿宋"/>
                <w:bCs/>
                <w:sz w:val="28"/>
                <w:szCs w:val="28"/>
              </w:rPr>
              <w:t>可靠性工程</w:t>
            </w:r>
          </w:p>
        </w:tc>
        <w:tc>
          <w:tcPr>
            <w:tcW w:w="851" w:type="dxa"/>
            <w:noWrap w:val="0"/>
            <w:vAlign w:val="center"/>
          </w:tcPr>
          <w:p>
            <w:pPr>
              <w:widowControl/>
              <w:spacing w:line="580" w:lineRule="exact"/>
              <w:jc w:val="center"/>
              <w:rPr>
                <w:rFonts w:ascii="Times New Roman" w:hAnsi="Times New Roman" w:eastAsia="仿宋"/>
                <w:kern w:val="0"/>
                <w:sz w:val="28"/>
                <w:szCs w:val="28"/>
              </w:rPr>
            </w:pPr>
            <w:r>
              <w:rPr>
                <w:rFonts w:hint="eastAsia" w:ascii="Times New Roman" w:hAnsi="Times New Roman" w:eastAsia="仿宋"/>
                <w:kern w:val="0"/>
                <w:sz w:val="28"/>
                <w:szCs w:val="28"/>
              </w:rPr>
              <w:t>5</w:t>
            </w:r>
          </w:p>
        </w:tc>
        <w:tc>
          <w:tcPr>
            <w:tcW w:w="850" w:type="dxa"/>
            <w:vMerge w:val="continue"/>
            <w:noWrap w:val="0"/>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22" w:type="dxa"/>
            <w:vMerge w:val="continue"/>
            <w:noWrap w:val="0"/>
            <w:vAlign w:val="center"/>
          </w:tcPr>
          <w:p>
            <w:pPr>
              <w:spacing w:line="580" w:lineRule="exact"/>
              <w:jc w:val="center"/>
              <w:rPr>
                <w:rFonts w:ascii="Times New Roman" w:hAnsi="Times New Roman" w:eastAsia="仿宋"/>
                <w:b/>
                <w:bCs/>
                <w:sz w:val="28"/>
                <w:szCs w:val="28"/>
              </w:rPr>
            </w:pPr>
          </w:p>
        </w:tc>
        <w:tc>
          <w:tcPr>
            <w:tcW w:w="926" w:type="dxa"/>
            <w:noWrap w:val="0"/>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7</w:t>
            </w:r>
          </w:p>
        </w:tc>
        <w:tc>
          <w:tcPr>
            <w:tcW w:w="1047" w:type="dxa"/>
            <w:noWrap w:val="0"/>
            <w:vAlign w:val="center"/>
          </w:tcPr>
          <w:p>
            <w:pPr>
              <w:spacing w:line="580" w:lineRule="exact"/>
              <w:jc w:val="center"/>
              <w:rPr>
                <w:rFonts w:ascii="Times New Roman" w:hAnsi="Times New Roman" w:eastAsia="仿宋"/>
                <w:sz w:val="28"/>
                <w:szCs w:val="28"/>
              </w:rPr>
            </w:pPr>
            <w:r>
              <w:rPr>
                <w:rFonts w:hint="eastAsia" w:ascii="Times New Roman" w:hAnsi="Times New Roman" w:eastAsia="仿宋"/>
                <w:sz w:val="28"/>
                <w:szCs w:val="28"/>
              </w:rPr>
              <w:t>15021</w:t>
            </w:r>
          </w:p>
        </w:tc>
        <w:tc>
          <w:tcPr>
            <w:tcW w:w="4141" w:type="dxa"/>
            <w:noWrap w:val="0"/>
            <w:vAlign w:val="center"/>
          </w:tcPr>
          <w:p>
            <w:pPr>
              <w:widowControl/>
              <w:spacing w:line="580" w:lineRule="exact"/>
              <w:jc w:val="center"/>
              <w:rPr>
                <w:rFonts w:ascii="Times New Roman" w:hAnsi="Times New Roman" w:eastAsia="仿宋"/>
                <w:color w:val="000000"/>
                <w:kern w:val="0"/>
                <w:sz w:val="28"/>
                <w:szCs w:val="28"/>
              </w:rPr>
            </w:pPr>
            <w:r>
              <w:rPr>
                <w:rStyle w:val="5"/>
                <w:rFonts w:hint="default" w:ascii="Times New Roman" w:hAnsi="Times New Roman" w:eastAsia="仿宋"/>
                <w:sz w:val="28"/>
                <w:szCs w:val="28"/>
              </w:rPr>
              <w:t>标准编写实务（实践）</w:t>
            </w:r>
          </w:p>
        </w:tc>
        <w:tc>
          <w:tcPr>
            <w:tcW w:w="851" w:type="dxa"/>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color w:val="000000"/>
                <w:sz w:val="28"/>
                <w:szCs w:val="28"/>
              </w:rPr>
              <w:t>5</w:t>
            </w:r>
          </w:p>
        </w:tc>
        <w:tc>
          <w:tcPr>
            <w:tcW w:w="850" w:type="dxa"/>
            <w:vMerge w:val="continue"/>
            <w:noWrap w:val="0"/>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22" w:type="dxa"/>
            <w:vMerge w:val="continue"/>
            <w:noWrap w:val="0"/>
            <w:vAlign w:val="center"/>
          </w:tcPr>
          <w:p>
            <w:pPr>
              <w:spacing w:line="580" w:lineRule="exact"/>
              <w:jc w:val="center"/>
              <w:rPr>
                <w:rFonts w:ascii="Times New Roman" w:hAnsi="Times New Roman" w:eastAsia="仿宋"/>
                <w:b/>
                <w:bCs/>
                <w:sz w:val="28"/>
                <w:szCs w:val="28"/>
              </w:rPr>
            </w:pPr>
          </w:p>
        </w:tc>
        <w:tc>
          <w:tcPr>
            <w:tcW w:w="926" w:type="dxa"/>
            <w:noWrap w:val="0"/>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8</w:t>
            </w:r>
          </w:p>
        </w:tc>
        <w:tc>
          <w:tcPr>
            <w:tcW w:w="1047" w:type="dxa"/>
            <w:noWrap w:val="0"/>
            <w:vAlign w:val="center"/>
          </w:tcPr>
          <w:p>
            <w:pPr>
              <w:spacing w:line="580" w:lineRule="exact"/>
              <w:jc w:val="center"/>
              <w:rPr>
                <w:rFonts w:ascii="Times New Roman" w:hAnsi="Times New Roman" w:eastAsia="仿宋"/>
                <w:sz w:val="28"/>
                <w:szCs w:val="28"/>
              </w:rPr>
            </w:pPr>
            <w:r>
              <w:rPr>
                <w:rFonts w:hint="eastAsia" w:ascii="Times New Roman" w:hAnsi="Times New Roman" w:eastAsia="仿宋"/>
                <w:sz w:val="28"/>
                <w:szCs w:val="28"/>
              </w:rPr>
              <w:t>15029</w:t>
            </w:r>
          </w:p>
        </w:tc>
        <w:tc>
          <w:tcPr>
            <w:tcW w:w="4141" w:type="dxa"/>
            <w:noWrap w:val="0"/>
            <w:vAlign w:val="center"/>
          </w:tcPr>
          <w:p>
            <w:pPr>
              <w:widowControl/>
              <w:spacing w:line="580" w:lineRule="exact"/>
              <w:jc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机电产品质量检验（实践）</w:t>
            </w:r>
          </w:p>
        </w:tc>
        <w:tc>
          <w:tcPr>
            <w:tcW w:w="851" w:type="dxa"/>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color w:val="000000"/>
                <w:sz w:val="28"/>
                <w:szCs w:val="28"/>
              </w:rPr>
              <w:t>5</w:t>
            </w:r>
          </w:p>
        </w:tc>
        <w:tc>
          <w:tcPr>
            <w:tcW w:w="850" w:type="dxa"/>
            <w:vMerge w:val="continue"/>
            <w:noWrap w:val="0"/>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22" w:type="dxa"/>
            <w:vMerge w:val="continue"/>
            <w:noWrap w:val="0"/>
            <w:vAlign w:val="center"/>
          </w:tcPr>
          <w:p>
            <w:pPr>
              <w:spacing w:line="580" w:lineRule="exact"/>
              <w:jc w:val="center"/>
              <w:rPr>
                <w:rFonts w:ascii="Times New Roman" w:hAnsi="Times New Roman" w:eastAsia="仿宋"/>
                <w:b/>
                <w:bCs/>
                <w:sz w:val="28"/>
                <w:szCs w:val="28"/>
              </w:rPr>
            </w:pPr>
          </w:p>
        </w:tc>
        <w:tc>
          <w:tcPr>
            <w:tcW w:w="926" w:type="dxa"/>
            <w:noWrap w:val="0"/>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9</w:t>
            </w:r>
          </w:p>
        </w:tc>
        <w:tc>
          <w:tcPr>
            <w:tcW w:w="1047" w:type="dxa"/>
            <w:noWrap w:val="0"/>
            <w:vAlign w:val="center"/>
          </w:tcPr>
          <w:p>
            <w:pPr>
              <w:spacing w:line="580" w:lineRule="exact"/>
              <w:jc w:val="center"/>
              <w:rPr>
                <w:rFonts w:ascii="Times New Roman" w:hAnsi="Times New Roman" w:eastAsia="仿宋"/>
                <w:sz w:val="28"/>
                <w:szCs w:val="28"/>
              </w:rPr>
            </w:pPr>
            <w:r>
              <w:rPr>
                <w:rFonts w:hint="eastAsia" w:ascii="Times New Roman" w:hAnsi="Times New Roman" w:eastAsia="仿宋"/>
                <w:sz w:val="28"/>
                <w:szCs w:val="28"/>
              </w:rPr>
              <w:t>15030</w:t>
            </w:r>
          </w:p>
        </w:tc>
        <w:tc>
          <w:tcPr>
            <w:tcW w:w="4141" w:type="dxa"/>
            <w:noWrap w:val="0"/>
            <w:vAlign w:val="center"/>
          </w:tcPr>
          <w:p>
            <w:pPr>
              <w:widowControl/>
              <w:spacing w:line="580" w:lineRule="exact"/>
              <w:jc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Minitab操作实务（实践）</w:t>
            </w:r>
          </w:p>
        </w:tc>
        <w:tc>
          <w:tcPr>
            <w:tcW w:w="851" w:type="dxa"/>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5</w:t>
            </w:r>
          </w:p>
        </w:tc>
        <w:tc>
          <w:tcPr>
            <w:tcW w:w="850" w:type="dxa"/>
            <w:vMerge w:val="continue"/>
            <w:noWrap w:val="0"/>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22" w:type="dxa"/>
            <w:vMerge w:val="continue"/>
            <w:noWrap w:val="0"/>
            <w:vAlign w:val="center"/>
          </w:tcPr>
          <w:p>
            <w:pPr>
              <w:spacing w:line="580" w:lineRule="exact"/>
              <w:jc w:val="center"/>
              <w:rPr>
                <w:rFonts w:ascii="Times New Roman" w:hAnsi="Times New Roman" w:eastAsia="仿宋"/>
                <w:b/>
                <w:bCs/>
                <w:sz w:val="28"/>
                <w:szCs w:val="28"/>
              </w:rPr>
            </w:pPr>
          </w:p>
        </w:tc>
        <w:tc>
          <w:tcPr>
            <w:tcW w:w="926" w:type="dxa"/>
            <w:noWrap w:val="0"/>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10</w:t>
            </w:r>
          </w:p>
        </w:tc>
        <w:tc>
          <w:tcPr>
            <w:tcW w:w="1047" w:type="dxa"/>
            <w:noWrap w:val="0"/>
            <w:vAlign w:val="center"/>
          </w:tcPr>
          <w:p>
            <w:pPr>
              <w:widowControl/>
              <w:spacing w:line="580" w:lineRule="exact"/>
              <w:jc w:val="center"/>
              <w:rPr>
                <w:rFonts w:ascii="Times New Roman" w:hAnsi="Times New Roman" w:eastAsia="仿宋"/>
                <w:sz w:val="28"/>
                <w:szCs w:val="28"/>
              </w:rPr>
            </w:pPr>
            <w:r>
              <w:rPr>
                <w:rFonts w:hint="eastAsia" w:ascii="Times New Roman" w:hAnsi="Times New Roman" w:eastAsia="仿宋"/>
                <w:sz w:val="28"/>
                <w:szCs w:val="28"/>
              </w:rPr>
              <w:t>15032</w:t>
            </w:r>
          </w:p>
        </w:tc>
        <w:tc>
          <w:tcPr>
            <w:tcW w:w="4141" w:type="dxa"/>
            <w:noWrap w:val="0"/>
            <w:vAlign w:val="center"/>
          </w:tcPr>
          <w:p>
            <w:pPr>
              <w:widowControl/>
              <w:spacing w:line="580" w:lineRule="exact"/>
              <w:jc w:val="center"/>
              <w:rPr>
                <w:rFonts w:ascii="Times New Roman" w:hAnsi="Times New Roman" w:eastAsia="仿宋"/>
                <w:color w:val="000000"/>
                <w:kern w:val="0"/>
                <w:sz w:val="28"/>
                <w:szCs w:val="28"/>
              </w:rPr>
            </w:pPr>
            <w:r>
              <w:rPr>
                <w:rFonts w:ascii="Times New Roman" w:hAnsi="Times New Roman" w:eastAsia="仿宋"/>
                <w:bCs/>
                <w:sz w:val="28"/>
                <w:szCs w:val="28"/>
              </w:rPr>
              <w:t>计量</w:t>
            </w:r>
            <w:r>
              <w:rPr>
                <w:rFonts w:hint="eastAsia" w:ascii="Times New Roman" w:hAnsi="Times New Roman" w:eastAsia="仿宋"/>
                <w:bCs/>
                <w:sz w:val="28"/>
                <w:szCs w:val="28"/>
              </w:rPr>
              <w:t>器具</w:t>
            </w:r>
            <w:r>
              <w:rPr>
                <w:rFonts w:ascii="Times New Roman" w:hAnsi="Times New Roman" w:eastAsia="仿宋"/>
                <w:bCs/>
                <w:sz w:val="28"/>
                <w:szCs w:val="28"/>
              </w:rPr>
              <w:t>使用与校准（实践）</w:t>
            </w:r>
          </w:p>
        </w:tc>
        <w:tc>
          <w:tcPr>
            <w:tcW w:w="851" w:type="dxa"/>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5</w:t>
            </w:r>
          </w:p>
        </w:tc>
        <w:tc>
          <w:tcPr>
            <w:tcW w:w="850" w:type="dxa"/>
            <w:vMerge w:val="continue"/>
            <w:noWrap w:val="0"/>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22" w:type="dxa"/>
            <w:vMerge w:val="continue"/>
            <w:noWrap w:val="0"/>
            <w:vAlign w:val="center"/>
          </w:tcPr>
          <w:p>
            <w:pPr>
              <w:spacing w:line="580" w:lineRule="exact"/>
              <w:jc w:val="center"/>
              <w:rPr>
                <w:rFonts w:ascii="Times New Roman" w:hAnsi="Times New Roman" w:eastAsia="仿宋"/>
                <w:b/>
                <w:bCs/>
                <w:sz w:val="28"/>
                <w:szCs w:val="28"/>
              </w:rPr>
            </w:pPr>
          </w:p>
        </w:tc>
        <w:tc>
          <w:tcPr>
            <w:tcW w:w="926" w:type="dxa"/>
            <w:noWrap w:val="0"/>
            <w:vAlign w:val="center"/>
          </w:tcPr>
          <w:p>
            <w:pPr>
              <w:spacing w:line="580" w:lineRule="exact"/>
              <w:jc w:val="center"/>
              <w:rPr>
                <w:rFonts w:ascii="Times New Roman" w:hAnsi="Times New Roman" w:eastAsia="仿宋"/>
                <w:bCs/>
                <w:sz w:val="28"/>
                <w:szCs w:val="28"/>
              </w:rPr>
            </w:pPr>
            <w:r>
              <w:rPr>
                <w:rFonts w:hint="eastAsia" w:ascii="Times New Roman" w:hAnsi="Times New Roman" w:eastAsia="仿宋"/>
                <w:bCs/>
                <w:sz w:val="28"/>
                <w:szCs w:val="28"/>
              </w:rPr>
              <w:t>1</w:t>
            </w:r>
            <w:r>
              <w:rPr>
                <w:rFonts w:ascii="Times New Roman" w:hAnsi="Times New Roman" w:eastAsia="仿宋"/>
                <w:bCs/>
                <w:sz w:val="28"/>
                <w:szCs w:val="28"/>
              </w:rPr>
              <w:t>1</w:t>
            </w:r>
          </w:p>
        </w:tc>
        <w:tc>
          <w:tcPr>
            <w:tcW w:w="1047" w:type="dxa"/>
            <w:noWrap w:val="0"/>
            <w:vAlign w:val="center"/>
          </w:tcPr>
          <w:p>
            <w:pPr>
              <w:widowControl/>
              <w:spacing w:line="580" w:lineRule="exact"/>
              <w:jc w:val="center"/>
              <w:rPr>
                <w:rFonts w:ascii="Times New Roman" w:hAnsi="Times New Roman" w:eastAsia="仿宋"/>
                <w:sz w:val="28"/>
                <w:szCs w:val="28"/>
              </w:rPr>
            </w:pPr>
            <w:r>
              <w:rPr>
                <w:rFonts w:hint="eastAsia" w:ascii="Times New Roman" w:hAnsi="Times New Roman" w:eastAsia="仿宋"/>
                <w:sz w:val="28"/>
                <w:szCs w:val="28"/>
              </w:rPr>
              <w:t>15031</w:t>
            </w:r>
          </w:p>
        </w:tc>
        <w:tc>
          <w:tcPr>
            <w:tcW w:w="4141" w:type="dxa"/>
            <w:noWrap w:val="0"/>
            <w:vAlign w:val="center"/>
          </w:tcPr>
          <w:p>
            <w:pPr>
              <w:widowControl/>
              <w:spacing w:line="580" w:lineRule="exact"/>
              <w:jc w:val="center"/>
              <w:rPr>
                <w:rFonts w:ascii="Times New Roman" w:hAnsi="Times New Roman" w:eastAsia="仿宋"/>
                <w:bCs/>
                <w:sz w:val="28"/>
                <w:szCs w:val="28"/>
              </w:rPr>
            </w:pPr>
            <w:r>
              <w:rPr>
                <w:rFonts w:ascii="Times New Roman" w:hAnsi="Times New Roman" w:eastAsia="仿宋"/>
                <w:bCs/>
                <w:sz w:val="28"/>
                <w:szCs w:val="28"/>
              </w:rPr>
              <w:t>质量改进（实践）</w:t>
            </w:r>
          </w:p>
        </w:tc>
        <w:tc>
          <w:tcPr>
            <w:tcW w:w="851" w:type="dxa"/>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5</w:t>
            </w:r>
          </w:p>
        </w:tc>
        <w:tc>
          <w:tcPr>
            <w:tcW w:w="850" w:type="dxa"/>
            <w:vMerge w:val="continue"/>
            <w:noWrap w:val="0"/>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2795" w:type="dxa"/>
            <w:gridSpan w:val="3"/>
            <w:noWrap w:val="0"/>
            <w:vAlign w:val="center"/>
          </w:tcPr>
          <w:p>
            <w:pPr>
              <w:widowControl/>
              <w:spacing w:line="580" w:lineRule="exact"/>
              <w:jc w:val="center"/>
              <w:rPr>
                <w:rFonts w:ascii="Times New Roman" w:hAnsi="Times New Roman" w:eastAsia="仿宋"/>
                <w:sz w:val="28"/>
                <w:szCs w:val="28"/>
              </w:rPr>
            </w:pPr>
            <w:r>
              <w:rPr>
                <w:rFonts w:ascii="Times New Roman" w:hAnsi="Times New Roman" w:eastAsia="仿宋"/>
                <w:sz w:val="28"/>
                <w:szCs w:val="28"/>
              </w:rPr>
              <w:t>合计</w:t>
            </w:r>
          </w:p>
        </w:tc>
        <w:tc>
          <w:tcPr>
            <w:tcW w:w="4141" w:type="dxa"/>
            <w:noWrap w:val="0"/>
            <w:vAlign w:val="center"/>
          </w:tcPr>
          <w:p>
            <w:pPr>
              <w:widowControl/>
              <w:spacing w:line="580" w:lineRule="exact"/>
              <w:jc w:val="center"/>
              <w:rPr>
                <w:rFonts w:ascii="Times New Roman" w:hAnsi="Times New Roman" w:eastAsia="仿宋"/>
                <w:bCs/>
                <w:sz w:val="28"/>
                <w:szCs w:val="28"/>
              </w:rPr>
            </w:pPr>
          </w:p>
        </w:tc>
        <w:tc>
          <w:tcPr>
            <w:tcW w:w="851" w:type="dxa"/>
            <w:noWrap w:val="0"/>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70</w:t>
            </w:r>
          </w:p>
        </w:tc>
        <w:tc>
          <w:tcPr>
            <w:tcW w:w="850" w:type="dxa"/>
            <w:noWrap w:val="0"/>
            <w:vAlign w:val="center"/>
          </w:tcPr>
          <w:p>
            <w:pPr>
              <w:widowControl/>
              <w:spacing w:line="580" w:lineRule="exact"/>
              <w:jc w:val="center"/>
              <w:rPr>
                <w:rFonts w:ascii="Times New Roman" w:hAnsi="Times New Roman" w:eastAsia="仿宋"/>
                <w:kern w:val="0"/>
                <w:sz w:val="28"/>
                <w:szCs w:val="28"/>
              </w:rPr>
            </w:pPr>
          </w:p>
        </w:tc>
      </w:tr>
    </w:tbl>
    <w:p>
      <w:pPr>
        <w:spacing w:line="580" w:lineRule="exact"/>
        <w:ind w:firstLine="480" w:firstLineChars="200"/>
        <w:rPr>
          <w:rFonts w:ascii="Times New Roman" w:hAnsi="Times New Roman" w:eastAsia="仿宋"/>
          <w:sz w:val="28"/>
          <w:szCs w:val="28"/>
        </w:rPr>
      </w:pPr>
      <w:r>
        <w:rPr>
          <w:rFonts w:hint="eastAsia" w:ascii="仿宋" w:hAnsi="仿宋" w:eastAsia="仿宋" w:cs="仿宋"/>
          <w:bCs/>
          <w:color w:val="000000"/>
          <w:sz w:val="24"/>
          <w:szCs w:val="24"/>
        </w:rPr>
        <w:t>说明：</w:t>
      </w:r>
      <w:r>
        <w:rPr>
          <w:rFonts w:hint="eastAsia" w:ascii="仿宋" w:hAnsi="仿宋" w:eastAsia="仿宋" w:cs="仿宋"/>
          <w:sz w:val="24"/>
          <w:szCs w:val="24"/>
        </w:rPr>
        <w:t>选考课程可以在本专业推荐选考课中选择，也可以在我省现行开考的其他专升本专业中选择与本专业考试计划不同的课程，课程门数不得少于6门，不低于28学分，其中实践不超过26学分。含理论和实践的课程，实践部分不计课程门数。</w:t>
      </w:r>
    </w:p>
    <w:p>
      <w:p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五、课程说明</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（一）</w:t>
      </w:r>
      <w:r>
        <w:rPr>
          <w:rFonts w:hint="eastAsia" w:ascii="仿宋_GB2312" w:hAnsi="仿宋_GB2312" w:eastAsia="仿宋_GB2312" w:cs="仿宋_GB2312"/>
          <w:sz w:val="32"/>
          <w:szCs w:val="32"/>
        </w:rPr>
        <w:t>中国近现代史纲要(略)</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（二）</w:t>
      </w:r>
      <w:r>
        <w:rPr>
          <w:rFonts w:hint="eastAsia" w:ascii="仿宋_GB2312" w:hAnsi="仿宋_GB2312" w:eastAsia="仿宋_GB2312" w:cs="仿宋_GB2312"/>
          <w:sz w:val="32"/>
          <w:szCs w:val="32"/>
        </w:rPr>
        <w:t>马克思主义基本原理概论(略)</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（三）</w:t>
      </w:r>
      <w:r>
        <w:rPr>
          <w:rFonts w:hint="eastAsia" w:ascii="仿宋_GB2312" w:hAnsi="仿宋_GB2312" w:eastAsia="仿宋_GB2312" w:cs="仿宋_GB2312"/>
          <w:sz w:val="32"/>
          <w:szCs w:val="32"/>
        </w:rPr>
        <w:t>计量管理</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本课程是高等教育自学考试本科层次的一门必</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课程包括计量学基本概念、计量发展简史、计量单位、计量法规体系、计量器具的监督管理、计量基准与标准的管理、企业计量管理等。通过本课程的学习，使学生掌握计量管理的基本知识，了解法制计量、产业计量、民生计量和现代计量的主要内容，为学生从事质量检验、质量管理工作打好技术基础。</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（四）</w:t>
      </w:r>
      <w:r>
        <w:rPr>
          <w:rFonts w:hint="eastAsia" w:ascii="仿宋_GB2312" w:hAnsi="仿宋_GB2312" w:eastAsia="仿宋_GB2312" w:cs="仿宋_GB2312"/>
          <w:sz w:val="32"/>
          <w:szCs w:val="32"/>
        </w:rPr>
        <w:t>应用文写作（略）</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（五）</w:t>
      </w:r>
      <w:r>
        <w:rPr>
          <w:rFonts w:hint="eastAsia" w:ascii="仿宋_GB2312" w:hAnsi="仿宋_GB2312" w:eastAsia="仿宋_GB2312" w:cs="仿宋_GB2312"/>
          <w:sz w:val="32"/>
          <w:szCs w:val="32"/>
        </w:rPr>
        <w:t>质量管理学</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必考课程。课程内容包括质量管理的发展史、相关概念、理论、体系、工具、方法、作用等。通过本课程学习，使学生了解质量管理的发展史及质量管理对社会和经济的巨大作用，掌握质量管理的相关概念、理论、工具和方法，熟悉质量管理在企事业单位中的应用。</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（六）</w:t>
      </w:r>
      <w:r>
        <w:rPr>
          <w:rFonts w:hint="eastAsia" w:ascii="仿宋_GB2312" w:hAnsi="仿宋_GB2312" w:eastAsia="仿宋_GB2312" w:cs="仿宋_GB2312"/>
          <w:sz w:val="32"/>
          <w:szCs w:val="32"/>
        </w:rPr>
        <w:t>质量政策及法律法规</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必考课程。课程内容包括国家颁布的质量法律法规、国家质量战略、质量相关政策和文件等。通过本课程学习，使学生了解国家的质量法律法规及质量相关政策和文件，熟悉与产品生产、服务提供、日常生活和消费相关的质量政策及法律法规，做到知法、懂法和用法。</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（七）</w:t>
      </w:r>
      <w:r>
        <w:rPr>
          <w:rFonts w:hint="eastAsia" w:ascii="仿宋_GB2312" w:hAnsi="仿宋_GB2312" w:eastAsia="仿宋_GB2312" w:cs="仿宋_GB2312"/>
          <w:sz w:val="32"/>
          <w:szCs w:val="32"/>
        </w:rPr>
        <w:t>综合质量管理体系</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必考课程。课程内容包括企业中并存的多种质量管理体系，综合管理体系的概念、原则和方法等。通过本课程学习，使学生了解企业多种质量管理体系并存的现状及其弊端，熟悉进行多种质量管理体系综合的必要性和可行性，掌握综合管理体系的概念、原则和方法等，增强对综合管理体系及其作用的了解和应用。</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（八）</w:t>
      </w:r>
      <w:r>
        <w:rPr>
          <w:rFonts w:hint="eastAsia" w:ascii="仿宋_GB2312" w:hAnsi="仿宋_GB2312" w:eastAsia="仿宋_GB2312" w:cs="仿宋_GB2312"/>
          <w:sz w:val="32"/>
          <w:szCs w:val="32"/>
        </w:rPr>
        <w:t>运筹学与系统分析</w:t>
      </w:r>
    </w:p>
    <w:p>
      <w:pPr>
        <w:pStyle w:val="6"/>
        <w:spacing w:line="580" w:lineRule="exact"/>
        <w:ind w:firstLine="640"/>
        <w:rPr>
          <w:rFonts w:ascii="仿宋_GB2312" w:hAnsi="仿宋_GB2312" w:eastAsia="仿宋_GB2312" w:cs="仿宋_GB2312"/>
          <w:b w:val="0"/>
          <w:kern w:val="0"/>
          <w:sz w:val="32"/>
          <w:szCs w:val="32"/>
        </w:rPr>
      </w:pPr>
      <w:r>
        <w:rPr>
          <w:rFonts w:hint="eastAsia" w:ascii="仿宋_GB2312" w:hAnsi="仿宋_GB2312" w:eastAsia="仿宋_GB2312" w:cs="仿宋_GB2312"/>
          <w:b w:val="0"/>
          <w:kern w:val="0"/>
          <w:sz w:val="32"/>
          <w:szCs w:val="32"/>
        </w:rPr>
        <w:t>本课程是高等教育自学考试本科层次的一门必</w:t>
      </w:r>
      <w:r>
        <w:rPr>
          <w:rFonts w:ascii="仿宋_GB2312" w:hAnsi="仿宋_GB2312" w:eastAsia="仿宋_GB2312" w:cs="仿宋_GB2312"/>
          <w:b w:val="0"/>
          <w:kern w:val="0"/>
          <w:sz w:val="32"/>
          <w:szCs w:val="32"/>
        </w:rPr>
        <w:t>考</w:t>
      </w:r>
      <w:r>
        <w:rPr>
          <w:rFonts w:hint="eastAsia" w:ascii="仿宋_GB2312" w:hAnsi="仿宋_GB2312" w:eastAsia="仿宋_GB2312" w:cs="仿宋_GB2312"/>
          <w:b w:val="0"/>
          <w:kern w:val="0"/>
          <w:sz w:val="32"/>
          <w:szCs w:val="32"/>
        </w:rPr>
        <w:t>课程。课程内容包括了线性规划、运输问题、网络模型、网络规划、动态问题、决策分析等。通过本课程的学习，学生能够对组织中的管理问题进行分析、优化，并提供最优决策，对复杂问题能够进行分解、整合和求解。</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（九）</w:t>
      </w:r>
      <w:r>
        <w:rPr>
          <w:rFonts w:hint="eastAsia" w:ascii="仿宋_GB2312" w:hAnsi="仿宋_GB2312" w:eastAsia="仿宋_GB2312" w:cs="仿宋_GB2312"/>
          <w:sz w:val="32"/>
          <w:szCs w:val="32"/>
        </w:rPr>
        <w:t>质量管理工程实践</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本课程是高等教育自学考试本科层次的一门必</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实践内容可包括但不限于质量管理体系构建与实施、典型产品质检方案设计、质量工具和方法应用、产品或服务质量分析与改进等。实践的具体形式和内容由各学校自定，学生可以到主考学校或在企业进行一定时长的质量管理工程项目实践，并撰写实践报告。通过本课程的学习，可增强学生质量管理工程相关知识的应用能力和水平。</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（十）</w:t>
      </w:r>
      <w:r>
        <w:rPr>
          <w:rFonts w:hint="eastAsia" w:ascii="仿宋_GB2312" w:hAnsi="仿宋_GB2312" w:eastAsia="仿宋_GB2312" w:cs="仿宋_GB2312"/>
          <w:sz w:val="32"/>
          <w:szCs w:val="32"/>
        </w:rPr>
        <w:t>质量统计技术（含实践）</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课程内容包括质量统计概论、常用分布在质量管理工程领域的应用、参数估计与假设检验、方差分析、过程能力分析、控制图、相关软件应用等。通过本课程实践，使学生了解质量统计技术相关基础知识，掌握相应技能，并能将其运用于质量管理工程实践。</w:t>
      </w:r>
    </w:p>
    <w:p>
      <w:pPr>
        <w:pStyle w:val="7"/>
        <w:widowControl/>
        <w:spacing w:before="0" w:beforeAutospacing="0" w:after="0" w:afterAutospacing="0" w:line="58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质量统计技术（实践）</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本课程是对应理论课程的具体应用，学生利用主考学校实验室或企业资源，结合具体质量案例，利用质量软件完成数据分析、图表制作和分析等工作，增强学生质量软件的使用能力。</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（十一）</w:t>
      </w:r>
      <w:r>
        <w:rPr>
          <w:rFonts w:hint="eastAsia" w:ascii="仿宋_GB2312" w:hAnsi="仿宋_GB2312" w:eastAsia="仿宋_GB2312" w:cs="仿宋_GB2312"/>
          <w:sz w:val="32"/>
          <w:szCs w:val="32"/>
        </w:rPr>
        <w:t>质量意识与质量文化</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课程内容包括质量意识的概念、作用及养成方式，质量管理相关概念，质量文化的定义、内涵、作用、建设路径等。通过本课程学习，使学生了解质量意识在质量工作中的作用，增强对质量管理相关概念的认知，熟悉质量文化的内涵及建设路径，促进学生质量意识的提升和参与组织质量文化建设的积极性。</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（十二）</w:t>
      </w:r>
      <w:r>
        <w:rPr>
          <w:rFonts w:hint="eastAsia" w:ascii="仿宋_GB2312" w:hAnsi="仿宋_GB2312" w:eastAsia="仿宋_GB2312" w:cs="仿宋_GB2312"/>
          <w:sz w:val="32"/>
          <w:szCs w:val="32"/>
        </w:rPr>
        <w:t>质量管理信息系统</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课程内容包括质量管理信息系统相关基础知识、架构及其在质量管理工作的应用和案例等。通过本课程学习，使学生了解和熟悉质量管理信息系统相关基础知识、架构、作用和具体应用，掌握如何运用质量管理信息系统提升相关工作的效率和成果。</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（十三）</w:t>
      </w:r>
      <w:r>
        <w:rPr>
          <w:rFonts w:hint="eastAsia" w:ascii="仿宋_GB2312" w:hAnsi="仿宋_GB2312" w:eastAsia="仿宋_GB2312" w:cs="仿宋_GB2312"/>
          <w:sz w:val="32"/>
          <w:szCs w:val="32"/>
        </w:rPr>
        <w:t>供应商质量管理</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课程内容包括供应商管理中与质量有关的供应商准入、供应商产品/服务质量控制、质量问题改进、质量绩效评价等内容。通过本课程学习，使学生了解供应商质量管理工作相关基础知识，掌握供应商质量管理的内容、要求、方法、流程和技巧等。</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（十四）</w:t>
      </w:r>
      <w:r>
        <w:rPr>
          <w:rFonts w:hint="eastAsia" w:ascii="仿宋_GB2312" w:hAnsi="仿宋_GB2312" w:eastAsia="仿宋_GB2312" w:cs="仿宋_GB2312"/>
          <w:sz w:val="32"/>
          <w:szCs w:val="32"/>
        </w:rPr>
        <w:t>数字化质量管理</w:t>
      </w:r>
    </w:p>
    <w:p>
      <w:pPr>
        <w:pStyle w:val="7"/>
        <w:widowControl/>
        <w:spacing w:before="0" w:beforeAutospacing="0" w:after="0" w:afterAutospacing="0" w:line="58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sz w:val="32"/>
          <w:szCs w:val="32"/>
        </w:rPr>
        <w:t>本课程是高等教育自学考试本科层次的一门推荐选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课程。课程内容包括</w:t>
      </w:r>
      <w:r>
        <w:rPr>
          <w:rFonts w:hint="eastAsia" w:ascii="仿宋_GB2312" w:hAnsi="仿宋_GB2312" w:eastAsia="仿宋_GB2312" w:cs="仿宋_GB2312"/>
          <w:bCs/>
          <w:sz w:val="32"/>
          <w:szCs w:val="32"/>
        </w:rPr>
        <w:t>质量管理数字化的概念、模型、要求，以及质量大数据相关技术及应用等。通过本课程学习，使学生了解质量管理数字化的基本概念，熟悉数字化对质量管理的促进作用，掌握质量管理数字化及质量大数据相关的概念、模型、技术及其应用，为其更好地适应数字化社会打好基础。</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（十五）</w:t>
      </w:r>
      <w:r>
        <w:rPr>
          <w:rFonts w:hint="eastAsia" w:ascii="仿宋_GB2312" w:hAnsi="仿宋_GB2312" w:eastAsia="仿宋_GB2312" w:cs="仿宋_GB2312"/>
          <w:sz w:val="32"/>
          <w:szCs w:val="32"/>
        </w:rPr>
        <w:t>可靠性工程</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课程内容包括可靠性基本术语，可靠性建模、预计和分配，可靠性分析、试验和管理等。通过学习，使学生了解可靠性的定义、系统可靠性建模的方法和步骤，理解并掌握可靠性设计与分析的基本概念、术语、方法和步骤，以及可靠性试验及评估的概念、分类、方法及实现步骤，初步具备应用可靠性知识分析、评估和解决实践中的可靠性工程问题的能力。</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（十六）</w:t>
      </w:r>
      <w:r>
        <w:rPr>
          <w:rFonts w:hint="eastAsia" w:ascii="仿宋_GB2312" w:hAnsi="仿宋_GB2312" w:eastAsia="仿宋_GB2312" w:cs="仿宋_GB2312"/>
          <w:sz w:val="32"/>
          <w:szCs w:val="32"/>
        </w:rPr>
        <w:t>标准编写实务（实践）</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课程内容包括标准的类别、格式、内容、编写步骤和具体要求等的讲解以及标准的实际编写训练。通过本课程实践，学生可了解标准的结构、格式、内容以及编写的要求和方法，并通过标准的实际编写增强对标准的理解和标准编制的能力。</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（十七）</w:t>
      </w:r>
      <w:r>
        <w:rPr>
          <w:rFonts w:hint="eastAsia" w:ascii="仿宋_GB2312" w:hAnsi="仿宋_GB2312" w:eastAsia="仿宋_GB2312" w:cs="仿宋_GB2312"/>
          <w:sz w:val="32"/>
          <w:szCs w:val="32"/>
        </w:rPr>
        <w:t>机电产品质量检验（实践）</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课程内容包括质量检验相关基础知识、机电产品质量检验相关仪器及其使用方法和具体要求等的讲解，以及机电产品质量检验实操。通过本课程实践，使学生了解和熟悉产品质量检验相关基础知识，并通过实际的检验活动掌握机电产品质量检验相关仪器的使用及数据处理方法等技能。</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（十八）</w:t>
      </w:r>
      <w:r>
        <w:rPr>
          <w:rFonts w:hint="eastAsia" w:ascii="仿宋_GB2312" w:hAnsi="仿宋_GB2312" w:eastAsia="仿宋_GB2312" w:cs="仿宋_GB2312"/>
          <w:sz w:val="32"/>
          <w:szCs w:val="32"/>
        </w:rPr>
        <w:t>Minitab操作实务（实践）</w:t>
      </w:r>
    </w:p>
    <w:p>
      <w:pPr>
        <w:widowControl/>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本课程是高等教育自学考试本科层次的一门推荐选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课程。课程内容包括</w:t>
      </w:r>
      <w:r>
        <w:rPr>
          <w:rFonts w:hint="eastAsia" w:ascii="仿宋_GB2312" w:hAnsi="仿宋_GB2312" w:eastAsia="仿宋_GB2312" w:cs="仿宋_GB2312"/>
          <w:color w:val="000000"/>
          <w:sz w:val="32"/>
          <w:szCs w:val="32"/>
        </w:rPr>
        <w:t>质量管理工作中常用的统计软件Minitab的功能和使用方法讲解以及实操训练。通过本课程实践，使</w:t>
      </w:r>
      <w:r>
        <w:rPr>
          <w:rFonts w:hint="eastAsia" w:ascii="仿宋_GB2312" w:hAnsi="仿宋_GB2312" w:eastAsia="仿宋_GB2312" w:cs="仿宋_GB2312"/>
          <w:sz w:val="32"/>
          <w:szCs w:val="32"/>
        </w:rPr>
        <w:t>学生了解</w:t>
      </w:r>
      <w:r>
        <w:rPr>
          <w:rFonts w:hint="eastAsia" w:ascii="仿宋_GB2312" w:hAnsi="仿宋_GB2312" w:eastAsia="仿宋_GB2312" w:cs="仿宋_GB2312"/>
          <w:color w:val="000000"/>
          <w:sz w:val="32"/>
          <w:szCs w:val="32"/>
        </w:rPr>
        <w:t>Minitab的基本功能，掌握Minitab软件的基本操作，能够灵活将其运用于质量数据的处理和分析，提高其分析和解决质量问题的能力。</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（十九）</w:t>
      </w:r>
      <w:r>
        <w:rPr>
          <w:rFonts w:hint="eastAsia" w:ascii="仿宋_GB2312" w:hAnsi="仿宋_GB2312" w:eastAsia="仿宋_GB2312" w:cs="仿宋_GB2312"/>
          <w:sz w:val="32"/>
          <w:szCs w:val="32"/>
        </w:rPr>
        <w:t>计量器具使用与校准（实践）</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课程。课程内容包括计量器具相关知识、常用计量器具的使用和校准方法等介绍，以及计量器具使用和校准的实际操作。</w:t>
      </w:r>
      <w:r>
        <w:rPr>
          <w:rFonts w:hint="eastAsia" w:ascii="仿宋_GB2312" w:hAnsi="仿宋_GB2312" w:eastAsia="仿宋_GB2312" w:cs="仿宋_GB2312"/>
          <w:color w:val="000000"/>
          <w:sz w:val="32"/>
          <w:szCs w:val="32"/>
        </w:rPr>
        <w:t>通过本课程实践，使</w:t>
      </w:r>
      <w:r>
        <w:rPr>
          <w:rFonts w:hint="eastAsia" w:ascii="仿宋_GB2312" w:hAnsi="仿宋_GB2312" w:eastAsia="仿宋_GB2312" w:cs="仿宋_GB2312"/>
          <w:sz w:val="32"/>
          <w:szCs w:val="32"/>
        </w:rPr>
        <w:t>学生了解计量器具相关知识，熟悉常用计量器具的使用和校准方法，增强其对计量和计量器具在质量工作中重要作用的认识以及使用和校准计量器具的能力。</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（二十）</w:t>
      </w:r>
      <w:r>
        <w:rPr>
          <w:rFonts w:hint="eastAsia" w:ascii="仿宋_GB2312" w:hAnsi="仿宋_GB2312" w:eastAsia="仿宋_GB2312" w:cs="仿宋_GB2312"/>
          <w:sz w:val="32"/>
          <w:szCs w:val="32"/>
        </w:rPr>
        <w:t>质量改进（实践）</w:t>
      </w:r>
    </w:p>
    <w:p>
      <w:pPr>
        <w:pStyle w:val="7"/>
        <w:widowControl/>
        <w:spacing w:before="0" w:beforeAutospacing="0" w:after="0" w:afterAutospacing="0" w:line="580" w:lineRule="exact"/>
        <w:ind w:firstLine="640" w:firstLineChars="200"/>
        <w:jc w:val="both"/>
      </w:pPr>
      <w:r>
        <w:rPr>
          <w:rFonts w:hint="eastAsia" w:ascii="仿宋_GB2312" w:hAnsi="仿宋_GB2312" w:eastAsia="仿宋_GB2312" w:cs="仿宋_GB2312"/>
          <w:sz w:val="32"/>
          <w:szCs w:val="32"/>
        </w:rPr>
        <w:t>本课程是高等教育自学考试本科层次的一门推荐选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课程内容包括质量改进相关的概念、方法、工具和流程的讲解与实操。通过本课程实践，使学生了解质量分析与质量改进相关基本知识，掌握质量改进的基本概念、原则、方法和流程，并可实际进行产品或服务质量问题的分析与改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ZThmZDNlMGM2Mzk4ZWE0NGZmMzNhNzYxYTZkOWIifQ=="/>
  </w:docVars>
  <w:rsids>
    <w:rsidRoot w:val="1B1D4BF8"/>
    <w:rsid w:val="1B1D4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character" w:customStyle="1" w:styleId="5">
    <w:name w:val="font21"/>
    <w:qFormat/>
    <w:uiPriority w:val="0"/>
    <w:rPr>
      <w:rFonts w:hint="eastAsia" w:ascii="宋体" w:hAnsi="宋体" w:eastAsia="宋体"/>
      <w:color w:val="000000"/>
      <w:sz w:val="21"/>
      <w:szCs w:val="21"/>
    </w:rPr>
  </w:style>
  <w:style w:type="paragraph" w:customStyle="1" w:styleId="6">
    <w:name w:val="标题 41"/>
    <w:basedOn w:val="1"/>
    <w:qFormat/>
    <w:uiPriority w:val="0"/>
    <w:pPr>
      <w:widowControl/>
      <w:snapToGrid w:val="0"/>
      <w:spacing w:line="440" w:lineRule="exact"/>
      <w:ind w:firstLine="529" w:firstLineChars="200"/>
      <w:outlineLvl w:val="3"/>
    </w:pPr>
    <w:rPr>
      <w:rFonts w:ascii="仿宋" w:hAnsi="仿宋" w:eastAsia="仿宋"/>
      <w:b/>
      <w:sz w:val="28"/>
      <w:szCs w:val="28"/>
    </w:rPr>
  </w:style>
  <w:style w:type="paragraph" w:customStyle="1" w:styleId="7">
    <w:name w:val="普通(网站)1"/>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2024-04-11T08:53:00Z</dcterms:created>
  <dc:creator>哟哟妈</dc:creator>
  <cp:lastModifiedBy>哟哟妈</cp:lastModifiedBy>
  <dcterms:modified xsi:type="dcterms:W3CDTF">2024-04-11T08:54:00Z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4E2147D54D194088A7B41C25AACE159B_11</vt:lpwstr>
  </property>
</Properties>
</file>